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C7DD1" w14:textId="56B78CD9" w:rsidR="001C0ADF" w:rsidRPr="00CE0424" w:rsidRDefault="001C0ADF" w:rsidP="001C0ADF">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Tdoc R2-1</w:t>
      </w:r>
      <w:r>
        <w:rPr>
          <w:sz w:val="32"/>
          <w:szCs w:val="32"/>
        </w:rPr>
        <w:t>7</w:t>
      </w:r>
      <w:r w:rsidR="00A80AC9">
        <w:rPr>
          <w:sz w:val="32"/>
          <w:szCs w:val="32"/>
        </w:rPr>
        <w:t>04399</w:t>
      </w:r>
    </w:p>
    <w:p w14:paraId="793378D1" w14:textId="77777777" w:rsidR="001C0ADF" w:rsidRPr="00CE0424" w:rsidRDefault="001C0ADF" w:rsidP="001C0ADF">
      <w:pPr>
        <w:pStyle w:val="3GPPHeader"/>
      </w:pPr>
      <w:r>
        <w:t>Hangzhou, P.R. of China, 15</w:t>
      </w:r>
      <w:r w:rsidRPr="00C544E1">
        <w:rPr>
          <w:vertAlign w:val="superscript"/>
        </w:rPr>
        <w:t>th</w:t>
      </w:r>
      <w:r>
        <w:t xml:space="preserve"> – 19</w:t>
      </w:r>
      <w:r w:rsidRPr="00AE3743">
        <w:rPr>
          <w:vertAlign w:val="superscript"/>
        </w:rPr>
        <w:t>th</w:t>
      </w:r>
      <w:r>
        <w:t xml:space="preserve"> May 2017</w:t>
      </w:r>
    </w:p>
    <w:p w14:paraId="77933EBE" w14:textId="77777777" w:rsidR="00C2346D" w:rsidRPr="00CE0424" w:rsidRDefault="00C2346D" w:rsidP="00C2346D">
      <w:pPr>
        <w:pStyle w:val="3GPPHeader"/>
      </w:pPr>
    </w:p>
    <w:p w14:paraId="66DAEEAA" w14:textId="7F7D1E7D" w:rsidR="00C2346D" w:rsidRPr="00A80AC9" w:rsidRDefault="00C2346D" w:rsidP="00C2346D">
      <w:pPr>
        <w:pStyle w:val="3GPPHeader"/>
        <w:rPr>
          <w:sz w:val="22"/>
        </w:rPr>
      </w:pPr>
      <w:r w:rsidRPr="00A80AC9">
        <w:rPr>
          <w:sz w:val="22"/>
        </w:rPr>
        <w:t>Agenda Item:</w:t>
      </w:r>
      <w:r w:rsidRPr="00A80AC9">
        <w:rPr>
          <w:sz w:val="22"/>
        </w:rPr>
        <w:tab/>
      </w:r>
      <w:r w:rsidR="00DE6D42" w:rsidRPr="00A80AC9">
        <w:rPr>
          <w:sz w:val="22"/>
        </w:rPr>
        <w:t>10.3.1.2</w:t>
      </w:r>
    </w:p>
    <w:p w14:paraId="7802E278" w14:textId="77777777" w:rsidR="00C2346D" w:rsidRPr="006A094E" w:rsidRDefault="00C2346D" w:rsidP="00C2346D">
      <w:pPr>
        <w:pStyle w:val="3GPPHeader"/>
        <w:rPr>
          <w:sz w:val="22"/>
        </w:rPr>
      </w:pPr>
      <w:r w:rsidRPr="00A80AC9">
        <w:rPr>
          <w:sz w:val="22"/>
        </w:rPr>
        <w:t>Source:</w:t>
      </w:r>
      <w:r w:rsidRPr="00A80AC9">
        <w:rPr>
          <w:sz w:val="22"/>
        </w:rPr>
        <w:tab/>
        <w:t>Ericsson</w:t>
      </w:r>
    </w:p>
    <w:p w14:paraId="21B71952" w14:textId="14EFAE2B" w:rsidR="00C2346D" w:rsidRPr="006A094E" w:rsidRDefault="00C2346D" w:rsidP="00C2346D">
      <w:pPr>
        <w:pStyle w:val="3GPPHeader"/>
        <w:rPr>
          <w:sz w:val="22"/>
        </w:rPr>
      </w:pPr>
      <w:r w:rsidRPr="006A094E">
        <w:rPr>
          <w:sz w:val="22"/>
        </w:rPr>
        <w:t>Title:</w:t>
      </w:r>
      <w:r w:rsidRPr="006A094E">
        <w:rPr>
          <w:sz w:val="22"/>
        </w:rPr>
        <w:tab/>
      </w:r>
      <w:r w:rsidR="009C4C5D" w:rsidRPr="006A094E">
        <w:rPr>
          <w:sz w:val="22"/>
        </w:rPr>
        <w:t>Impact on MAC from PDCCH monitoring occasions</w:t>
      </w:r>
    </w:p>
    <w:p w14:paraId="08531EDB" w14:textId="77777777" w:rsidR="00C2346D" w:rsidRPr="006A094E" w:rsidRDefault="00C2346D" w:rsidP="00C2346D">
      <w:pPr>
        <w:pStyle w:val="3GPPHeader"/>
        <w:rPr>
          <w:sz w:val="22"/>
        </w:rPr>
      </w:pPr>
      <w:r w:rsidRPr="006A094E">
        <w:rPr>
          <w:sz w:val="22"/>
        </w:rPr>
        <w:t>Document for:</w:t>
      </w:r>
      <w:r w:rsidRPr="006A094E">
        <w:rPr>
          <w:sz w:val="22"/>
        </w:rPr>
        <w:tab/>
        <w:t>Discussion, Decision</w:t>
      </w:r>
    </w:p>
    <w:p w14:paraId="71057B1C" w14:textId="22BB8CB7" w:rsidR="00C2346D" w:rsidRPr="006A094E" w:rsidRDefault="00C2346D" w:rsidP="00415E91">
      <w:pPr>
        <w:pStyle w:val="3GPPHeader"/>
        <w:spacing w:after="60"/>
        <w:rPr>
          <w:b w:val="0"/>
        </w:rPr>
      </w:pPr>
    </w:p>
    <w:p w14:paraId="7A50DB4D" w14:textId="77777777" w:rsidR="00C2346D" w:rsidRPr="006A094E" w:rsidRDefault="00C2346D" w:rsidP="00C2346D">
      <w:pPr>
        <w:pStyle w:val="Heading1"/>
      </w:pPr>
      <w:r w:rsidRPr="006A094E">
        <w:t>Introduction</w:t>
      </w:r>
    </w:p>
    <w:p w14:paraId="0AFA1C2D" w14:textId="427B97CD" w:rsidR="00E91168" w:rsidRPr="006A094E" w:rsidRDefault="00521E9D" w:rsidP="00E91168">
      <w:pPr>
        <w:pStyle w:val="BodyText"/>
      </w:pPr>
      <w:r w:rsidRPr="006A094E">
        <w:t xml:space="preserve">At </w:t>
      </w:r>
      <w:r w:rsidR="000F42D4" w:rsidRPr="006A094E">
        <w:t xml:space="preserve">the </w:t>
      </w:r>
      <w:r w:rsidRPr="006A094E">
        <w:t>RAN1</w:t>
      </w:r>
      <w:r w:rsidR="000F42D4" w:rsidRPr="006A094E">
        <w:t>#86bis</w:t>
      </w:r>
      <w:r w:rsidR="00633BFA" w:rsidRPr="006A094E">
        <w:t xml:space="preserve"> meeting it was agreed that the duration of a subframe in NR is 1ms </w:t>
      </w:r>
      <w:r w:rsidR="000F42D4" w:rsidRPr="006A094E">
        <w:t>and the reference numerology is 15 kHz</w:t>
      </w:r>
      <w:r w:rsidR="00633BFA" w:rsidRPr="006A094E">
        <w:t>:</w:t>
      </w:r>
    </w:p>
    <w:p w14:paraId="38179FEC" w14:textId="77777777" w:rsidR="00E91168" w:rsidRPr="006A094E" w:rsidRDefault="00E91168" w:rsidP="00E91168">
      <w:pPr>
        <w:pStyle w:val="Doc-text2"/>
        <w:pBdr>
          <w:top w:val="single" w:sz="4" w:space="1" w:color="auto"/>
          <w:left w:val="single" w:sz="4" w:space="4" w:color="auto"/>
          <w:bottom w:val="single" w:sz="4" w:space="1" w:color="auto"/>
          <w:right w:val="single" w:sz="4" w:space="4" w:color="auto"/>
        </w:pBdr>
      </w:pPr>
      <w:r w:rsidRPr="006A094E">
        <w:t>Agreements</w:t>
      </w:r>
    </w:p>
    <w:p w14:paraId="7D5EF5B3" w14:textId="77777777" w:rsidR="000F42D4" w:rsidRPr="006A094E"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Sub-frame duration is fixed to 1ms</w:t>
      </w:r>
    </w:p>
    <w:p w14:paraId="3F04D37B" w14:textId="0760B7A5" w:rsidR="00633BFA"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 xml:space="preserve">Reference numerology </w:t>
      </w:r>
      <w:r>
        <w:t>for defining subframe duration is 15 kHz</w:t>
      </w:r>
    </w:p>
    <w:p w14:paraId="3731EE79" w14:textId="3622CE00" w:rsidR="00E91168" w:rsidRPr="008A455C" w:rsidRDefault="008A455C" w:rsidP="00E91168">
      <w:pPr>
        <w:pStyle w:val="Doc-text2"/>
        <w:pBdr>
          <w:top w:val="single" w:sz="4" w:space="1" w:color="auto"/>
          <w:left w:val="single" w:sz="4" w:space="4" w:color="auto"/>
          <w:bottom w:val="single" w:sz="4" w:space="1" w:color="auto"/>
          <w:right w:val="single" w:sz="4" w:space="4" w:color="auto"/>
        </w:pBdr>
      </w:pPr>
      <w:r w:rsidRPr="008A455C">
        <w:t>•</w:t>
      </w:r>
      <w:r w:rsidRPr="008A455C">
        <w:tab/>
        <w:t>UE-specific DL control information monitoring occasions at least in time domain can be configured</w:t>
      </w:r>
    </w:p>
    <w:p w14:paraId="11967B2A" w14:textId="77777777" w:rsidR="00521E9D" w:rsidRDefault="00521E9D" w:rsidP="00C2346D">
      <w:pPr>
        <w:pStyle w:val="BodyText"/>
      </w:pPr>
    </w:p>
    <w:p w14:paraId="5FE29A64" w14:textId="54340CA5" w:rsidR="00365B73" w:rsidRDefault="007661CA" w:rsidP="00037BCC">
      <w:pPr>
        <w:pStyle w:val="BodyText"/>
      </w:pPr>
      <w:r>
        <w:t xml:space="preserve">In this paper we discuss the implications of the third agreement above. "UE-specific DL control information monitoring occasions" is a very cumbersome term, so for the sake of simplicity we will use the term "PDCCH monitoring occasions" instead. </w:t>
      </w:r>
      <w:r w:rsidR="00A541ED">
        <w:t xml:space="preserve">For the sake of discussion in this paper we denote a PDCCH monitoring occasion as </w:t>
      </w:r>
      <w:r w:rsidR="004D0714">
        <w:t>one or several symbols</w:t>
      </w:r>
      <w:r w:rsidR="00A541ED">
        <w:t xml:space="preserve"> during which the UE tries to decode </w:t>
      </w:r>
      <w:r w:rsidR="004D0714">
        <w:t xml:space="preserve">a message on </w:t>
      </w:r>
      <w:r w:rsidR="00A541ED">
        <w:t xml:space="preserve">PDCCH. A PDCCH monitoring pattern is correspondingly defined as a set of PDCCH monitoring occasions. </w:t>
      </w:r>
      <w:r>
        <w:t xml:space="preserve">We understand this to be </w:t>
      </w:r>
      <w:r w:rsidR="000B059B">
        <w:t xml:space="preserve">a configuration for when the UE is supposed to try to decode PDCCH. </w:t>
      </w:r>
      <w:r w:rsidR="002D49F1">
        <w:t xml:space="preserve">In the following, we present how this </w:t>
      </w:r>
      <w:r w:rsidR="000B059B">
        <w:t>can ensure a high degree of flexibility required for NR.</w:t>
      </w:r>
    </w:p>
    <w:p w14:paraId="745936BA" w14:textId="3AAAABFA" w:rsidR="00C2346D" w:rsidRDefault="00C2346D" w:rsidP="00C2346D">
      <w:pPr>
        <w:pStyle w:val="Heading1"/>
      </w:pPr>
      <w:bookmarkStart w:id="0" w:name="_Ref178064866"/>
      <w:r w:rsidRPr="00CE0424">
        <w:t>Discussion</w:t>
      </w:r>
      <w:bookmarkEnd w:id="0"/>
    </w:p>
    <w:p w14:paraId="5C9ED27D" w14:textId="0C7AD4B4" w:rsidR="003B38CB" w:rsidRDefault="008A455C" w:rsidP="00376D37">
      <w:r>
        <w:t xml:space="preserve">The </w:t>
      </w:r>
      <w:r w:rsidR="00354992">
        <w:t xml:space="preserve">RAN1 </w:t>
      </w:r>
      <w:r>
        <w:t>agreement</w:t>
      </w:r>
      <w:r w:rsidR="00376D37">
        <w:t xml:space="preserve"> that </w:t>
      </w:r>
      <w:r w:rsidRPr="00696F5F">
        <w:t>UE-specific DL control information monitoring occasions</w:t>
      </w:r>
      <w:r>
        <w:t>,</w:t>
      </w:r>
      <w:r w:rsidRPr="00696F5F">
        <w:t xml:space="preserve"> at least in time domain</w:t>
      </w:r>
      <w:r>
        <w:t>,</w:t>
      </w:r>
      <w:r w:rsidRPr="00696F5F">
        <w:t xml:space="preserve"> can be configured</w:t>
      </w:r>
      <w:r>
        <w:t xml:space="preserve"> enables the possibility to configure the UE with specific </w:t>
      </w:r>
      <w:r w:rsidR="00376D37">
        <w:t xml:space="preserve">PDCCH monitoring patterns. Each pattern would define </w:t>
      </w:r>
      <w:r w:rsidR="0096171C">
        <w:t>when</w:t>
      </w:r>
      <w:r w:rsidR="00376D37">
        <w:t xml:space="preserve"> in time, </w:t>
      </w:r>
      <w:r w:rsidR="003316A9">
        <w:t xml:space="preserve">e.g. during </w:t>
      </w:r>
      <w:r w:rsidR="00376D37">
        <w:t xml:space="preserve">which OFDM symbols, the UE </w:t>
      </w:r>
      <w:r w:rsidR="003316A9">
        <w:t>shall</w:t>
      </w:r>
      <w:r w:rsidR="00376D37">
        <w:t xml:space="preserve"> monitor for PDCCH. The patterns would be configured by RRC signalling and could indicate any combination of PDCCH occasions/symbols during a specific time</w:t>
      </w:r>
      <w:r w:rsidR="003B38CB">
        <w:t>/duration</w:t>
      </w:r>
      <w:r w:rsidR="00376D37">
        <w:t>. The UE would then repeat this monitoring pattern for a</w:t>
      </w:r>
      <w:r w:rsidR="009228EC">
        <w:t xml:space="preserve"> </w:t>
      </w:r>
      <w:r w:rsidR="00376D37">
        <w:t xml:space="preserve">period of time for which the monitoring pattern is </w:t>
      </w:r>
      <w:r w:rsidR="00431CB9">
        <w:t>configured</w:t>
      </w:r>
      <w:r w:rsidR="009228EC">
        <w:t>.</w:t>
      </w:r>
      <w:r w:rsidR="00376D37">
        <w:t xml:space="preserve"> </w:t>
      </w:r>
      <w:r w:rsidR="00431CB9">
        <w:t xml:space="preserve">The resolution </w:t>
      </w:r>
      <w:r w:rsidR="000B059B">
        <w:t xml:space="preserve">of </w:t>
      </w:r>
      <w:r w:rsidR="00431CB9">
        <w:t xml:space="preserve">the monitoring pattern </w:t>
      </w:r>
      <w:r w:rsidR="0096171C">
        <w:t>could</w:t>
      </w:r>
      <w:r w:rsidR="00431CB9">
        <w:t xml:space="preserve"> be on a per symbol level</w:t>
      </w:r>
      <w:r w:rsidR="000B059B">
        <w:t xml:space="preserve"> in some cases</w:t>
      </w:r>
      <w:r w:rsidR="00261568">
        <w:t xml:space="preserve"> (e.g. mini-slots)</w:t>
      </w:r>
      <w:r w:rsidR="00431CB9">
        <w:t xml:space="preserve"> but independent </w:t>
      </w:r>
      <w:r w:rsidR="003316A9">
        <w:t xml:space="preserve">of </w:t>
      </w:r>
      <w:r w:rsidR="00431CB9">
        <w:t>the symbol duration</w:t>
      </w:r>
      <w:r w:rsidR="009C75FA">
        <w:t>, i.e. the numerology</w:t>
      </w:r>
      <w:r w:rsidR="00431CB9">
        <w:t>. In this way any configuration for any numerol</w:t>
      </w:r>
      <w:r w:rsidR="003B38CB">
        <w:t xml:space="preserve">ogy </w:t>
      </w:r>
      <w:r w:rsidR="00431CB9">
        <w:t>can be addressed as well</w:t>
      </w:r>
      <w:r w:rsidR="003316A9">
        <w:t>.</w:t>
      </w:r>
      <w:r w:rsidR="0096171C">
        <w:t xml:space="preserve"> This is primarily a configuration of the physical layer</w:t>
      </w:r>
      <w:r w:rsidR="002D49F1">
        <w:t xml:space="preserve"> by RRC, but</w:t>
      </w:r>
      <w:r w:rsidR="0096171C">
        <w:t xml:space="preserve"> there could be implications on MAC too.</w:t>
      </w:r>
    </w:p>
    <w:p w14:paraId="3834B24E" w14:textId="1AFF9B1C" w:rsidR="00431CB9" w:rsidRDefault="00130784" w:rsidP="00376D37">
      <w:r>
        <w:t>The concept of TTI in LTE giv</w:t>
      </w:r>
      <w:r w:rsidR="00482449">
        <w:t>e</w:t>
      </w:r>
      <w:r>
        <w:t xml:space="preserve"> rise to confusion in NR due to that the use of different numerologies</w:t>
      </w:r>
      <w:r w:rsidR="008B66D0">
        <w:t>, sTTI and mini-slots</w:t>
      </w:r>
      <w:r>
        <w:t xml:space="preserve"> would imply different TTI</w:t>
      </w:r>
      <w:r w:rsidR="00261568">
        <w:t xml:space="preserve"> duration</w:t>
      </w:r>
      <w:r>
        <w:t xml:space="preserve">. </w:t>
      </w:r>
      <w:r w:rsidR="009228EC">
        <w:t xml:space="preserve">The use of PDCCH monitoring patterns </w:t>
      </w:r>
      <w:r w:rsidR="004D0714">
        <w:t>could be used to avoid the use of TTI as the basic unit of time in MAC</w:t>
      </w:r>
      <w:r>
        <w:t xml:space="preserve"> and make MAC more event driven</w:t>
      </w:r>
      <w:r w:rsidR="00CF7205">
        <w:t xml:space="preserve"> and asynchronous in the sense that MAC would react when a valid PDCCH is decoded</w:t>
      </w:r>
      <w:r>
        <w:t>.</w:t>
      </w:r>
      <w:r w:rsidR="000B059B">
        <w:t xml:space="preserve"> This is further </w:t>
      </w:r>
      <w:r w:rsidR="004D0714">
        <w:t>explained in the example below.</w:t>
      </w:r>
    </w:p>
    <w:p w14:paraId="41F4745F" w14:textId="1D1A4826" w:rsidR="00323742" w:rsidRPr="002F1465" w:rsidRDefault="00323742" w:rsidP="00323742">
      <w:pPr>
        <w:pStyle w:val="Proposal"/>
      </w:pPr>
      <w:bookmarkStart w:id="1" w:name="_Toc461196230"/>
      <w:bookmarkStart w:id="2" w:name="_Toc461462481"/>
      <w:bookmarkStart w:id="3" w:name="_Toc461463288"/>
      <w:bookmarkStart w:id="4" w:name="_Toc461463683"/>
      <w:bookmarkStart w:id="5" w:name="_Toc462061526"/>
      <w:bookmarkStart w:id="6" w:name="_Toc462865401"/>
      <w:bookmarkStart w:id="7" w:name="_Toc462865826"/>
      <w:bookmarkStart w:id="8" w:name="_Toc462865901"/>
      <w:bookmarkStart w:id="9" w:name="_Toc463021167"/>
      <w:bookmarkStart w:id="10" w:name="_Toc465030403"/>
      <w:bookmarkStart w:id="11" w:name="_Toc465030656"/>
      <w:bookmarkStart w:id="12" w:name="_Toc465100308"/>
      <w:bookmarkStart w:id="13" w:name="_Toc465348454"/>
      <w:bookmarkStart w:id="14" w:name="_Toc465411679"/>
      <w:bookmarkStart w:id="15" w:name="_Toc465601685"/>
      <w:bookmarkStart w:id="16" w:name="_Toc466019346"/>
      <w:bookmarkStart w:id="17" w:name="_Toc467851834"/>
      <w:bookmarkStart w:id="18" w:name="_Toc470788582"/>
      <w:bookmarkStart w:id="19" w:name="_Toc470875106"/>
      <w:bookmarkStart w:id="20" w:name="_Toc471125605"/>
      <w:bookmarkStart w:id="21" w:name="_Toc471390618"/>
      <w:bookmarkStart w:id="22" w:name="_Toc471495126"/>
      <w:bookmarkStart w:id="23" w:name="_Toc471498210"/>
      <w:bookmarkStart w:id="24" w:name="_Toc471507107"/>
      <w:bookmarkStart w:id="25" w:name="_Toc473880140"/>
      <w:bookmarkStart w:id="26" w:name="_Toc478023279"/>
      <w:bookmarkStart w:id="27" w:name="_Toc478027157"/>
      <w:bookmarkStart w:id="28" w:name="_Toc478112098"/>
      <w:bookmarkStart w:id="29" w:name="_Toc478132147"/>
      <w:bookmarkStart w:id="30" w:name="_Toc481677664"/>
      <w:bookmarkStart w:id="31" w:name="_Toc481866400"/>
      <w:r>
        <w:lastRenderedPageBreak/>
        <w:t>NR should 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r w:rsidR="003316A9">
        <w:t>"</w:t>
      </w:r>
      <w:r>
        <w:t xml:space="preserve">PDCCH monitoring </w:t>
      </w:r>
      <w:r w:rsidR="003316A9">
        <w:t>occasions"</w:t>
      </w:r>
      <w:r>
        <w:t xml:space="preserve"> to receive DL control information</w:t>
      </w:r>
      <w:r w:rsidR="003316A9">
        <w:t xml:space="preserve"> and trigger corresponding actions in NR MAC</w:t>
      </w:r>
      <w:r>
        <w: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D29D1A8" w14:textId="39ECA00D" w:rsidR="008E2548" w:rsidRDefault="008E2548" w:rsidP="004F78AE">
      <w:pPr>
        <w:pStyle w:val="Heading2"/>
      </w:pPr>
      <w:r>
        <w:t>Configuration and reconfiguration</w:t>
      </w:r>
    </w:p>
    <w:p w14:paraId="36218A5D" w14:textId="3DF5D8EE" w:rsidR="009228EC" w:rsidRDefault="003316A9" w:rsidP="00376D37">
      <w:r>
        <w:t xml:space="preserve">The degree of active service (and hence </w:t>
      </w:r>
      <w:r w:rsidR="00C83706">
        <w:t xml:space="preserve">the degree of </w:t>
      </w:r>
      <w:r>
        <w:t>power saving) in the UE can be controlled by the eNB by configuration of the PDCCH monitoring pattern. A dense pattern (i.e. many PDCCH monitoring occasions during a time period) would result in short delay but higher power consumption. A sparse pattern allows for</w:t>
      </w:r>
      <w:r w:rsidR="00C83706">
        <w:t xml:space="preserve"> power saving at the cost of increased latency. We think the change of the PDCCH monitoring pattern can be signalled using RRC signalling and MAC control elements (similar to DRX</w:t>
      </w:r>
      <w:r w:rsidR="008B66D0">
        <w:t xml:space="preserve"> in LTE</w:t>
      </w:r>
      <w:r w:rsidR="00C83706">
        <w:t>) with the exact details decided later by RAN2. Using a pattern in time to configure the degree of activity of the UE is similar to how the pools for sidelink operation are used. In a sidelink resource pool there is a time pattern which indicates when the UE should try to receive</w:t>
      </w:r>
      <w:r w:rsidR="000B059B">
        <w:t xml:space="preserve"> sidelink control information</w:t>
      </w:r>
      <w:r w:rsidR="00C83706">
        <w:t>.</w:t>
      </w:r>
      <w:r w:rsidR="00C83706" w:rsidDel="00C83706">
        <w:t xml:space="preserve"> </w:t>
      </w:r>
    </w:p>
    <w:p w14:paraId="4A449749" w14:textId="58C21613" w:rsidR="001705DC" w:rsidRPr="002F1465" w:rsidRDefault="001705DC" w:rsidP="001705DC">
      <w:pPr>
        <w:pStyle w:val="Proposal"/>
      </w:pPr>
      <w:bookmarkStart w:id="32" w:name="_Toc465774098"/>
      <w:bookmarkStart w:id="33" w:name="_Toc465332024"/>
      <w:bookmarkStart w:id="34" w:name="_Toc465844072"/>
      <w:bookmarkStart w:id="35" w:name="_Toc465845448"/>
      <w:bookmarkStart w:id="36" w:name="_Toc465846828"/>
      <w:bookmarkStart w:id="37" w:name="_Toc465847333"/>
      <w:bookmarkStart w:id="38" w:name="_Toc465851595"/>
      <w:bookmarkStart w:id="39" w:name="_Toc470788583"/>
      <w:bookmarkStart w:id="40" w:name="_Toc470875107"/>
      <w:bookmarkStart w:id="41" w:name="_Toc471125606"/>
      <w:bookmarkStart w:id="42" w:name="_Toc471390619"/>
      <w:bookmarkStart w:id="43" w:name="_Toc471495127"/>
      <w:bookmarkStart w:id="44" w:name="_Toc471498211"/>
      <w:bookmarkStart w:id="45" w:name="_Toc471507108"/>
      <w:bookmarkStart w:id="46" w:name="_Toc473880141"/>
      <w:bookmarkStart w:id="47" w:name="_Toc478023280"/>
      <w:bookmarkStart w:id="48" w:name="_Toc478027158"/>
      <w:bookmarkStart w:id="49" w:name="_Toc478112099"/>
      <w:bookmarkStart w:id="50" w:name="_Toc478132148"/>
      <w:bookmarkStart w:id="51" w:name="_Toc481677665"/>
      <w:bookmarkStart w:id="52" w:name="_Toc481866401"/>
      <w:r>
        <w:t xml:space="preserve">In NR, RRC signalling and MAC CEs </w:t>
      </w:r>
      <w:bookmarkEnd w:id="32"/>
      <w:bookmarkEnd w:id="33"/>
      <w:bookmarkEnd w:id="34"/>
      <w:bookmarkEnd w:id="35"/>
      <w:r>
        <w:t xml:space="preserve">can be used to the configure and control the </w:t>
      </w:r>
      <w:bookmarkEnd w:id="36"/>
      <w:bookmarkEnd w:id="37"/>
      <w:bookmarkEnd w:id="38"/>
      <w:r>
        <w:t>PDCCH monitoring patterns used by the UE.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6591385" w14:textId="26BF184F" w:rsidR="009B2D27" w:rsidRDefault="009B2D27" w:rsidP="00376D37">
      <w:r>
        <w:t xml:space="preserve">It is also possible to </w:t>
      </w:r>
      <w:r w:rsidR="008E2548">
        <w:t xml:space="preserve">consider </w:t>
      </w:r>
      <w:r>
        <w:t>switch</w:t>
      </w:r>
      <w:r w:rsidR="008E2548">
        <w:t>ing of</w:t>
      </w:r>
      <w:r>
        <w:t xml:space="preserve"> PDCCH monitoring pattern </w:t>
      </w:r>
      <w:r w:rsidR="00CF4EC7" w:rsidRPr="006A094E">
        <w:t>without explicitly signalling the new pattern to the UE</w:t>
      </w:r>
      <w:r w:rsidR="00CF4EC7">
        <w:t>.</w:t>
      </w:r>
      <w:r>
        <w:t xml:space="preserve"> For example, the UE could switch to a sparser pattern</w:t>
      </w:r>
      <w:r w:rsidR="00CF4EC7">
        <w:t xml:space="preserve"> </w:t>
      </w:r>
      <w:r w:rsidR="00CF4EC7" w:rsidRPr="006A094E">
        <w:t>(previously configured by the eNB)</w:t>
      </w:r>
      <w:r>
        <w:t xml:space="preserve"> after a period of inactivity, similar to DRX. This would allow the UE to save power during periods of inactivity. From an architectural perspective there is an issue in the sense that RRC configures the pattern, but </w:t>
      </w:r>
      <w:r w:rsidR="008E2548">
        <w:t xml:space="preserve">it cannot detect inactivity in the user plane. This is a modelling problem </w:t>
      </w:r>
      <w:r w:rsidR="00261568">
        <w:t xml:space="preserve">which can be easily </w:t>
      </w:r>
      <w:r w:rsidR="008E2548">
        <w:t>resolved.</w:t>
      </w:r>
    </w:p>
    <w:p w14:paraId="5EEE26EC" w14:textId="4D2A4DE4" w:rsidR="009B2D27" w:rsidRPr="00063D08" w:rsidRDefault="002D49F1" w:rsidP="009B2D27">
      <w:pPr>
        <w:pStyle w:val="Proposal"/>
      </w:pPr>
      <w:bookmarkStart w:id="53" w:name="_Toc471390620"/>
      <w:bookmarkStart w:id="54" w:name="_Toc471495128"/>
      <w:bookmarkStart w:id="55" w:name="_Toc471498212"/>
      <w:bookmarkStart w:id="56" w:name="_Toc471507109"/>
      <w:bookmarkStart w:id="57" w:name="_Toc473880142"/>
      <w:bookmarkStart w:id="58" w:name="_Toc478023281"/>
      <w:bookmarkStart w:id="59" w:name="_Toc478027159"/>
      <w:bookmarkStart w:id="60" w:name="_Toc478112100"/>
      <w:bookmarkStart w:id="61" w:name="_Toc478132149"/>
      <w:bookmarkStart w:id="62" w:name="_Toc481677666"/>
      <w:bookmarkStart w:id="63" w:name="_Toc481866402"/>
      <w:r w:rsidRPr="00063D08">
        <w:t xml:space="preserve">Solutions for </w:t>
      </w:r>
      <w:r w:rsidR="00CF4EC7" w:rsidRPr="00063D08">
        <w:t>how to switch PDCCH monitoring pattern without explicit eNB signalling</w:t>
      </w:r>
      <w:r w:rsidR="009B2D27" w:rsidRPr="00063D08">
        <w:t xml:space="preserve"> (e.g. as a way to save power) should be </w:t>
      </w:r>
      <w:r w:rsidRPr="00063D08">
        <w:t>supported</w:t>
      </w:r>
      <w:r w:rsidR="009B2D27" w:rsidRPr="00063D08">
        <w:t>.</w:t>
      </w:r>
      <w:bookmarkEnd w:id="53"/>
      <w:bookmarkEnd w:id="54"/>
      <w:bookmarkEnd w:id="55"/>
      <w:bookmarkEnd w:id="56"/>
      <w:bookmarkEnd w:id="57"/>
      <w:bookmarkEnd w:id="58"/>
      <w:bookmarkEnd w:id="59"/>
      <w:bookmarkEnd w:id="60"/>
      <w:bookmarkEnd w:id="61"/>
      <w:bookmarkEnd w:id="62"/>
      <w:bookmarkEnd w:id="63"/>
    </w:p>
    <w:p w14:paraId="2F89497A" w14:textId="0ECBAAB0" w:rsidR="008E2548" w:rsidRDefault="008E2548" w:rsidP="004F78AE">
      <w:pPr>
        <w:pStyle w:val="Heading2"/>
      </w:pPr>
      <w:r>
        <w:t>Example</w:t>
      </w:r>
    </w:p>
    <w:p w14:paraId="3A08630C" w14:textId="5DB13663" w:rsidR="001705DC" w:rsidRDefault="001A49E7" w:rsidP="00376D37">
      <w:r>
        <w:t xml:space="preserve">The details of the PDCCH </w:t>
      </w:r>
      <w:r w:rsidRPr="00063D08">
        <w:t>monitoring pattern are too early to sort out</w:t>
      </w:r>
      <w:r>
        <w:t xml:space="preserve">. We provide this </w:t>
      </w:r>
      <w:r w:rsidR="00261568">
        <w:t>example to show</w:t>
      </w:r>
      <w:r>
        <w:t xml:space="preserve"> how it could be done. </w:t>
      </w:r>
      <w:r w:rsidR="00C83706">
        <w:t xml:space="preserve">As an example, the PDCCH </w:t>
      </w:r>
      <w:r w:rsidR="00376D37">
        <w:t xml:space="preserve">monitoring pattern could be assigned to the UE by the use of </w:t>
      </w:r>
      <w:r w:rsidR="00482449">
        <w:t xml:space="preserve">a </w:t>
      </w:r>
      <w:r w:rsidR="00376D37">
        <w:t xml:space="preserve">bitmap indicating the OFDM symbols to monitor over a specific time period. </w:t>
      </w:r>
      <w:r w:rsidR="00482449">
        <w:t>I</w:t>
      </w:r>
      <w:r w:rsidR="00376D37">
        <w:t>f the numerology used is the 15kHz subcarrier spacing with a PRB pair of 1ms</w:t>
      </w:r>
      <w:r w:rsidR="002A4597">
        <w:t xml:space="preserve"> and the PDCCH occasion being the first symbols in every slot</w:t>
      </w:r>
      <w:r w:rsidR="00376D37">
        <w:t xml:space="preserve">, the monitoring PDCCH pattern could be to monitor two consecutive PDCCH occasions (one or more OFDM symbols) while the third occasion is not monitored. This pattern with a duration of 3ms could then be repeated as long as the UE remains in active state and not entering DRX. </w:t>
      </w:r>
      <w:r w:rsidR="003865F0">
        <w:t xml:space="preserve">If the same pattern is given to a UE configured for a numerology using a SCS of e.g. 30kHz, the monitoring pattern would repeat itself in half </w:t>
      </w:r>
      <w:r w:rsidR="00A01A8F">
        <w:t>t</w:t>
      </w:r>
      <w:r w:rsidR="003865F0">
        <w:t>he time.</w:t>
      </w:r>
      <w:r w:rsidR="002A4597">
        <w:t xml:space="preserve"> </w:t>
      </w:r>
    </w:p>
    <w:p w14:paraId="124D6B01" w14:textId="08502C44" w:rsidR="00376D37" w:rsidRDefault="002A4597" w:rsidP="00376D37">
      <w:r>
        <w:t xml:space="preserve">The use of mini-slots could imply that any OFDM symbol </w:t>
      </w:r>
      <w:r w:rsidR="008E2548">
        <w:t xml:space="preserve">in a subframe </w:t>
      </w:r>
      <w:r>
        <w:t xml:space="preserve">could be a </w:t>
      </w:r>
      <w:r w:rsidR="00144A7C">
        <w:t>s</w:t>
      </w:r>
      <w:r>
        <w:t xml:space="preserve">PDCCH occasion which easily could be handled by the use of a </w:t>
      </w:r>
      <w:r w:rsidR="001705DC">
        <w:t xml:space="preserve">PDCCH </w:t>
      </w:r>
      <w:r>
        <w:t>monitoring pattern.</w:t>
      </w:r>
      <w:r w:rsidR="003865F0">
        <w:t xml:space="preserve"> </w:t>
      </w:r>
      <w:r w:rsidR="00376D37">
        <w:t>The concept of</w:t>
      </w:r>
      <w:r w:rsidR="00576CDB">
        <w:t xml:space="preserve"> a common and</w:t>
      </w:r>
      <w:r w:rsidR="00376D37">
        <w:t xml:space="preserve"> a UE specific search space is kept </w:t>
      </w:r>
      <w:r w:rsidR="00187556">
        <w:t xml:space="preserve">by the use of one or more control resource sets </w:t>
      </w:r>
      <w:r w:rsidR="00376D37">
        <w:t>to minimize the complexity of the blind decoding scheme.</w:t>
      </w:r>
    </w:p>
    <w:p w14:paraId="73BB8ED4" w14:textId="38C715B6" w:rsidR="00DB22AA" w:rsidRDefault="003865F0" w:rsidP="003865F0">
      <w:r w:rsidRPr="003865F0">
        <w:rPr>
          <w:noProof/>
          <w:lang w:val="sv-SE"/>
        </w:rPr>
        <w:drawing>
          <wp:inline distT="0" distB="0" distL="0" distR="0" wp14:anchorId="521DF99D" wp14:editId="18475288">
            <wp:extent cx="6638925" cy="1619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408" cy="1620831"/>
                    </a:xfrm>
                    <a:prstGeom prst="rect">
                      <a:avLst/>
                    </a:prstGeom>
                    <a:noFill/>
                    <a:ln>
                      <a:noFill/>
                    </a:ln>
                  </pic:spPr>
                </pic:pic>
              </a:graphicData>
            </a:graphic>
          </wp:inline>
        </w:drawing>
      </w:r>
    </w:p>
    <w:p w14:paraId="41A5A247" w14:textId="1B0892F1" w:rsidR="00DB22AA" w:rsidRDefault="00DB22AA" w:rsidP="00DB22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PDCCH monitoring pattern</w:t>
      </w:r>
    </w:p>
    <w:p w14:paraId="5C84B5C9" w14:textId="47B64C2D" w:rsidR="0041274A" w:rsidRDefault="0041274A" w:rsidP="0041274A">
      <w:pPr>
        <w:pStyle w:val="BodyText"/>
      </w:pPr>
      <w:r w:rsidRPr="00CF7205">
        <w:t>If the configurable monitoring pattern</w:t>
      </w:r>
      <w:r w:rsidR="009F055B">
        <w:t xml:space="preserve"> length</w:t>
      </w:r>
      <w:r w:rsidRPr="00CF7205">
        <w:t xml:space="preserve"> is restricted to 1ms (one subframe), a bitmap would need to be </w:t>
      </w:r>
      <w:r w:rsidR="00CF7205" w:rsidRPr="00CF7205">
        <w:t>up to</w:t>
      </w:r>
      <w:r w:rsidRPr="00CF7205">
        <w:t xml:space="preserve"> 2</w:t>
      </w:r>
      <w:r w:rsidRPr="00CF7205">
        <w:rPr>
          <w:vertAlign w:val="superscript"/>
        </w:rPr>
        <w:t>n</w:t>
      </w:r>
      <w:r w:rsidRPr="00CF7205">
        <w:t>*14 bits depending on the numerology</w:t>
      </w:r>
      <w:r w:rsidR="00776C65">
        <w:t xml:space="preserve"> and cyclic prefix</w:t>
      </w:r>
      <w:r w:rsidRPr="00CF7205">
        <w:t xml:space="preserve"> the bitmap should be valid for. This would, for </w:t>
      </w:r>
      <w:r w:rsidRPr="00CF7205">
        <w:lastRenderedPageBreak/>
        <w:t>n=0, (SCS = 15kHz), offer no flexibility in terms of monitoring patterns</w:t>
      </w:r>
      <w:r w:rsidR="00CF7205" w:rsidRPr="00CF7205">
        <w:t xml:space="preserve"> between subframes of 1ms</w:t>
      </w:r>
      <w:r w:rsidRPr="00CF7205">
        <w:t>, i.e. all possible PDCCH occasion need to be monitored</w:t>
      </w:r>
      <w:r w:rsidR="00D24544">
        <w:t xml:space="preserve"> as the pattern would repeat every subframe</w:t>
      </w:r>
      <w:r w:rsidRPr="00CF7205">
        <w:t>.</w:t>
      </w:r>
      <w:r w:rsidR="00776C65">
        <w:t xml:space="preserve"> If, on the other hand, the PDCCH monitoring pattern would span more than 1ms energy saving</w:t>
      </w:r>
      <w:r w:rsidR="002D3D1A">
        <w:t>s</w:t>
      </w:r>
      <w:r w:rsidR="00776C65">
        <w:t xml:space="preserve"> could be made by using a sparse monitoring pattern.</w:t>
      </w:r>
      <w:r w:rsidRPr="00CF7205">
        <w:t xml:space="preserve"> To allow for monitoring patterns even for n=0, the configured pattern would need span more than one subframe but would then also require a bitmap of size (14 to 2</w:t>
      </w:r>
      <w:r w:rsidRPr="00CF7205">
        <w:rPr>
          <w:vertAlign w:val="superscript"/>
        </w:rPr>
        <w:t>n</w:t>
      </w:r>
      <w:r w:rsidRPr="00CF7205">
        <w:t>*14)*#sf bits</w:t>
      </w:r>
      <w:r w:rsidR="001A49E7">
        <w:t xml:space="preserve"> if full flexibility is desired</w:t>
      </w:r>
      <w:r>
        <w:t>.</w:t>
      </w:r>
      <w:r w:rsidR="001A49E7">
        <w:t xml:space="preserve"> On the other </w:t>
      </w:r>
      <w:r w:rsidR="00655F68">
        <w:t>hand,</w:t>
      </w:r>
      <w:r w:rsidR="001A49E7">
        <w:t xml:space="preserve"> and at the cost of flexibility, this bitmap size can be reduced if a smaller set of standardized patterns are agreed on.</w:t>
      </w:r>
    </w:p>
    <w:p w14:paraId="0B57ED6D" w14:textId="5E564422" w:rsidR="00655F68" w:rsidRPr="00776C65" w:rsidRDefault="002D3D1A" w:rsidP="002D3D1A">
      <w:pPr>
        <w:pStyle w:val="BodyText"/>
      </w:pPr>
      <w:r>
        <w:t>The PDCCH monitoring pattern could be used for both</w:t>
      </w:r>
      <w:r w:rsidR="0041274A">
        <w:t xml:space="preserve"> FDD and TDD</w:t>
      </w:r>
      <w:r>
        <w:t xml:space="preserve"> </w:t>
      </w:r>
      <w:r w:rsidR="008F63BC">
        <w:t>with</w:t>
      </w:r>
      <w:r>
        <w:t xml:space="preserve"> some consideration </w:t>
      </w:r>
      <w:r w:rsidR="008F63BC">
        <w:t xml:space="preserve">taken </w:t>
      </w:r>
      <w:r>
        <w:t>on the</w:t>
      </w:r>
      <w:r w:rsidR="008F63BC">
        <w:t xml:space="preserve"> length of the </w:t>
      </w:r>
      <w:r>
        <w:t>monitoring pattern</w:t>
      </w:r>
      <w:r w:rsidR="00B324A9">
        <w:t xml:space="preserve"> and</w:t>
      </w:r>
      <w:r>
        <w:t xml:space="preserve"> </w:t>
      </w:r>
      <w:r w:rsidR="00B324A9">
        <w:t xml:space="preserve">it could be used to configure several </w:t>
      </w:r>
      <w:r w:rsidR="00E916B4">
        <w:t>timers in layer 2</w:t>
      </w:r>
      <w:r w:rsidR="00B324A9">
        <w:t xml:space="preserve">, see </w:t>
      </w:r>
      <w:r w:rsidR="00B324A9">
        <w:fldChar w:fldCharType="begin"/>
      </w:r>
      <w:r w:rsidR="00B324A9">
        <w:instrText xml:space="preserve"> REF _Ref174151459 \r \h </w:instrText>
      </w:r>
      <w:r w:rsidR="00B324A9">
        <w:fldChar w:fldCharType="separate"/>
      </w:r>
      <w:r w:rsidR="00B324A9">
        <w:t>[1]</w:t>
      </w:r>
      <w:r w:rsidR="00B324A9">
        <w:fldChar w:fldCharType="end"/>
      </w:r>
      <w:r w:rsidR="00B324A9">
        <w:t>.</w:t>
      </w:r>
      <w:r>
        <w:t xml:space="preserve"> </w:t>
      </w:r>
    </w:p>
    <w:p w14:paraId="36D6F2BE" w14:textId="14604D60" w:rsidR="0011431E" w:rsidRDefault="0011431E" w:rsidP="0011431E">
      <w:r>
        <w:t xml:space="preserve">If </w:t>
      </w:r>
      <w:r w:rsidR="008F63BC">
        <w:t>a</w:t>
      </w:r>
      <w:r>
        <w:t xml:space="preserve"> UE is configured to use more than one numerology for reception and/or transmission, a set of PDCCH monitoring patterns could be configured per numerology</w:t>
      </w:r>
      <w:r w:rsidR="00B3410D">
        <w:t>,</w:t>
      </w:r>
      <w:r w:rsidR="008F63BC">
        <w:t xml:space="preserve"> or</w:t>
      </w:r>
      <w:r w:rsidR="00B3410D">
        <w:t>,</w:t>
      </w:r>
      <w:r w:rsidR="008F63BC">
        <w:t xml:space="preserve"> the same pattern could be used regardless of numerology</w:t>
      </w:r>
      <w:r>
        <w:t xml:space="preserve">. </w:t>
      </w:r>
      <w:r w:rsidR="00EF49B4">
        <w:t>Given that the PDCCH is mapped the same across numerologies,</w:t>
      </w:r>
      <w:r w:rsidR="00B3410D">
        <w:t xml:space="preserve"> i.e. the same OFDM symbols within a slot,</w:t>
      </w:r>
      <w:r w:rsidR="00EF49B4">
        <w:t xml:space="preserve"> the one and the same PDCCH monitoring pattern could be used for any configuration</w:t>
      </w:r>
      <w:r w:rsidR="00B3410D">
        <w:t xml:space="preserve"> resulting in a numerology independent PDCCH monitoring pattern</w:t>
      </w:r>
      <w:r w:rsidR="00EF49B4">
        <w:t>.</w:t>
      </w:r>
      <w:r w:rsidR="00CA2C31">
        <w:t xml:space="preserve"> </w:t>
      </w:r>
      <w:r>
        <w:t xml:space="preserve">The UE could simultaneously monitor the PDCCH for </w:t>
      </w:r>
      <w:r w:rsidR="00EF141C">
        <w:t>each</w:t>
      </w:r>
      <w:r>
        <w:t xml:space="preserve"> numerolog</w:t>
      </w:r>
      <w:r w:rsidR="00EF141C">
        <w:t>y</w:t>
      </w:r>
      <w:r>
        <w:t xml:space="preserve"> according to </w:t>
      </w:r>
      <w:r w:rsidR="00EF141C">
        <w:t>the patterns</w:t>
      </w:r>
      <w:r>
        <w:t xml:space="preserve"> configured. </w:t>
      </w:r>
    </w:p>
    <w:p w14:paraId="45C78C0E" w14:textId="3F1F3BB2" w:rsidR="008B5BB8" w:rsidRDefault="008B5BB8" w:rsidP="008B5BB8">
      <w:pPr>
        <w:pStyle w:val="BodyText"/>
      </w:pPr>
      <w:r>
        <w:t>It is also possible to use the PDCCH monitoring occasions as a way to describe how MAC is triggered to perform certain actions. Several procedures in 36.321 are described as some kind of for-loops in a sense, example from section "5.3.1 DL assignment reception":</w:t>
      </w:r>
    </w:p>
    <w:p w14:paraId="1354CFC1" w14:textId="77777777"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Scheduling C-RNTI, or Temporary C-RNTI, </w:t>
      </w:r>
      <w:r w:rsidRPr="00192497">
        <w:rPr>
          <w:noProof/>
          <w:highlight w:val="yellow"/>
        </w:rPr>
        <w:t>the MAC entity shall for each TTI</w:t>
      </w:r>
      <w:r w:rsidRPr="002F4F3B">
        <w:rPr>
          <w:noProof/>
        </w:rPr>
        <w:t xml:space="preserve"> during which it monitors PDCCH and for each Serving Cell:</w:t>
      </w:r>
    </w:p>
    <w:p w14:paraId="37B2CA59" w14:textId="77777777" w:rsidR="008B5BB8" w:rsidRPr="002F4F3B" w:rsidRDefault="008B5BB8" w:rsidP="008B5BB8">
      <w:pPr>
        <w:pStyle w:val="B1"/>
        <w:ind w:left="1135"/>
        <w:rPr>
          <w:noProof/>
        </w:rPr>
      </w:pPr>
      <w:r w:rsidRPr="002F4F3B">
        <w:rPr>
          <w:noProof/>
        </w:rPr>
        <w:t>-</w:t>
      </w:r>
      <w:r w:rsidRPr="002F4F3B">
        <w:rPr>
          <w:noProof/>
        </w:rPr>
        <w:tab/>
        <w:t xml:space="preserve">if a downlink assignment for this TTI and this Serving Cell has been received on the PDCCH for the </w:t>
      </w:r>
      <w:r>
        <w:rPr>
          <w:noProof/>
        </w:rPr>
        <w:t>MAC entity</w:t>
      </w:r>
      <w:r w:rsidRPr="002F4F3B">
        <w:rPr>
          <w:noProof/>
        </w:rPr>
        <w:t>’s C-RNTI, or Temporary C</w:t>
      </w:r>
      <w:r w:rsidRPr="002F4F3B">
        <w:rPr>
          <w:noProof/>
        </w:rPr>
        <w:noBreakHyphen/>
        <w:t>RNTI:</w:t>
      </w:r>
    </w:p>
    <w:p w14:paraId="5CBB2511" w14:textId="309A00E9" w:rsidR="008B5BB8" w:rsidRDefault="008B5BB8" w:rsidP="008B5BB8">
      <w:pPr>
        <w:pStyle w:val="BodyText"/>
      </w:pPr>
      <w:r>
        <w:t>Instead this can be rewritten as:</w:t>
      </w:r>
    </w:p>
    <w:p w14:paraId="1990E295" w14:textId="39CE5750"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w:t>
      </w:r>
      <w:r>
        <w:rPr>
          <w:noProof/>
        </w:rPr>
        <w:t xml:space="preserve">ing C-RNTI, or Temporary C-RNTI </w:t>
      </w:r>
      <w:r w:rsidRPr="002F4F3B">
        <w:rPr>
          <w:noProof/>
        </w:rPr>
        <w:t>and for each Serving Cell:</w:t>
      </w:r>
    </w:p>
    <w:p w14:paraId="6651274C" w14:textId="4B65410D" w:rsidR="008B5BB8" w:rsidRPr="002F4F3B" w:rsidRDefault="008B5BB8" w:rsidP="008B5BB8">
      <w:pPr>
        <w:pStyle w:val="B1"/>
        <w:ind w:left="1135"/>
        <w:rPr>
          <w:noProof/>
        </w:rPr>
      </w:pPr>
      <w:r w:rsidRPr="002F4F3B">
        <w:rPr>
          <w:noProof/>
        </w:rPr>
        <w:t>-</w:t>
      </w:r>
      <w:r w:rsidRPr="002F4F3B">
        <w:rPr>
          <w:noProof/>
        </w:rPr>
        <w:tab/>
        <w:t xml:space="preserve">if </w:t>
      </w:r>
      <w:r w:rsidRPr="008B5BB8">
        <w:rPr>
          <w:noProof/>
          <w:highlight w:val="yellow"/>
        </w:rPr>
        <w:t>this PDCCH monitoring occasion indicates</w:t>
      </w:r>
      <w:r>
        <w:rPr>
          <w:noProof/>
        </w:rPr>
        <w:t xml:space="preserve"> </w:t>
      </w:r>
      <w:r w:rsidRPr="002F4F3B">
        <w:rPr>
          <w:noProof/>
        </w:rPr>
        <w:t xml:space="preserve">a downlink assignment for this Serving Cell for the </w:t>
      </w:r>
      <w:r>
        <w:rPr>
          <w:noProof/>
        </w:rPr>
        <w:t>MAC entity</w:t>
      </w:r>
      <w:r w:rsidRPr="002F4F3B">
        <w:rPr>
          <w:noProof/>
        </w:rPr>
        <w:t>’s C-RNTI, or Temporary C</w:t>
      </w:r>
      <w:r w:rsidRPr="002F4F3B">
        <w:rPr>
          <w:noProof/>
        </w:rPr>
        <w:noBreakHyphen/>
        <w:t>RNTI:</w:t>
      </w:r>
    </w:p>
    <w:p w14:paraId="61098AC0" w14:textId="7E870DA9" w:rsidR="008B5BB8" w:rsidRDefault="008B5BB8" w:rsidP="001931AF">
      <w:pPr>
        <w:pStyle w:val="BodyText"/>
      </w:pPr>
      <w:r>
        <w:t xml:space="preserve">We think this has two benefits. First of </w:t>
      </w:r>
      <w:r w:rsidR="001931AF">
        <w:t>all,</w:t>
      </w:r>
      <w:r>
        <w:t xml:space="preserve"> the term "TTI" is avoided which can be beneficial when specifying a system where the TTI is varied. Alternatively, the term has to be defined in a more stringent fashion than in LTE. Secondly, </w:t>
      </w:r>
      <w:r w:rsidR="001931AF">
        <w:t xml:space="preserve">this allows for NR MAC to be </w:t>
      </w:r>
      <w:r>
        <w:t>specified in a more event-triggered way. We thi</w:t>
      </w:r>
      <w:r w:rsidR="001931AF">
        <w:t xml:space="preserve">nk that could be simpler and more future-proof. </w:t>
      </w:r>
      <w:r>
        <w:t>We recognize that this is perhaps stage-3 details of how to write the specification</w:t>
      </w:r>
      <w:r w:rsidR="001931AF">
        <w:t xml:space="preserve"> and it requires more study than this short example</w:t>
      </w:r>
      <w:r>
        <w:t>, but as it can be viewed as a significant shift from how LTE MAC is described we think it would be good to start early.</w:t>
      </w:r>
    </w:p>
    <w:p w14:paraId="6D07A8D6" w14:textId="77777777" w:rsidR="00C2346D" w:rsidRPr="00CE0424" w:rsidRDefault="00C2346D" w:rsidP="00C2346D">
      <w:pPr>
        <w:pStyle w:val="Heading1"/>
      </w:pPr>
      <w:r w:rsidRPr="00CE0424">
        <w:t>Conclusion</w:t>
      </w:r>
    </w:p>
    <w:p w14:paraId="73CA9E71" w14:textId="30B2A4B6" w:rsidR="00231198" w:rsidRPr="00DD0708" w:rsidRDefault="00C2346D" w:rsidP="00231198">
      <w:r>
        <w:t xml:space="preserve">We </w:t>
      </w:r>
      <w:r w:rsidR="00231198">
        <w:t>have the following proposals</w:t>
      </w:r>
      <w:r>
        <w:t>:</w:t>
      </w:r>
    </w:p>
    <w:p w14:paraId="50CB23ED" w14:textId="77777777" w:rsidR="00F2107E" w:rsidRPr="00F2107E" w:rsidRDefault="00C2346D">
      <w:pPr>
        <w:pStyle w:val="TOC1"/>
        <w:rPr>
          <w:rFonts w:asciiTheme="minorHAnsi" w:eastAsiaTheme="minorEastAsia" w:hAnsiTheme="minorHAnsi" w:cstheme="minorBidi"/>
          <w:b w:val="0"/>
          <w:sz w:val="22"/>
        </w:rPr>
      </w:pPr>
      <w:r>
        <w:fldChar w:fldCharType="begin"/>
      </w:r>
      <w:r>
        <w:instrText xml:space="preserve"> TOC \f \n \p " " \t "Proposal;1" </w:instrText>
      </w:r>
      <w:bookmarkStart w:id="64" w:name="_GoBack"/>
      <w:bookmarkEnd w:id="64"/>
      <w:r>
        <w:fldChar w:fldCharType="separate"/>
      </w:r>
      <w:r w:rsidR="00F2107E">
        <w:t>Proposal 1</w:t>
      </w:r>
      <w:r w:rsidR="00F2107E" w:rsidRPr="00F2107E">
        <w:rPr>
          <w:rFonts w:asciiTheme="minorHAnsi" w:eastAsiaTheme="minorEastAsia" w:hAnsiTheme="minorHAnsi" w:cstheme="minorBidi"/>
          <w:b w:val="0"/>
          <w:sz w:val="22"/>
        </w:rPr>
        <w:tab/>
      </w:r>
      <w:r w:rsidR="00F2107E">
        <w:t>NR should use "PDCCH monitoring occasions" to receive DL control information and trigger corresponding actions in NR MAC.</w:t>
      </w:r>
    </w:p>
    <w:p w14:paraId="1C2E2CC4" w14:textId="77777777" w:rsidR="00F2107E" w:rsidRPr="00F2107E" w:rsidRDefault="00F2107E">
      <w:pPr>
        <w:pStyle w:val="TOC1"/>
        <w:rPr>
          <w:rFonts w:asciiTheme="minorHAnsi" w:eastAsiaTheme="minorEastAsia" w:hAnsiTheme="minorHAnsi" w:cstheme="minorBidi"/>
          <w:b w:val="0"/>
          <w:sz w:val="22"/>
        </w:rPr>
      </w:pPr>
      <w:r>
        <w:t>Proposal 2</w:t>
      </w:r>
      <w:r w:rsidRPr="00F2107E">
        <w:rPr>
          <w:rFonts w:asciiTheme="minorHAnsi" w:eastAsiaTheme="minorEastAsia" w:hAnsiTheme="minorHAnsi" w:cstheme="minorBidi"/>
          <w:b w:val="0"/>
          <w:sz w:val="22"/>
        </w:rPr>
        <w:tab/>
      </w:r>
      <w:r>
        <w:t>In NR, RRC signalling and MAC CEs can be used to the configure and control the PDCCH monitoring patterns used by the UE.</w:t>
      </w:r>
    </w:p>
    <w:p w14:paraId="327823BC" w14:textId="77777777" w:rsidR="00F2107E" w:rsidRPr="00F2107E" w:rsidRDefault="00F2107E">
      <w:pPr>
        <w:pStyle w:val="TOC1"/>
        <w:rPr>
          <w:rFonts w:asciiTheme="minorHAnsi" w:eastAsiaTheme="minorEastAsia" w:hAnsiTheme="minorHAnsi" w:cstheme="minorBidi"/>
          <w:b w:val="0"/>
          <w:sz w:val="22"/>
        </w:rPr>
      </w:pPr>
      <w:r>
        <w:t>Proposal 3</w:t>
      </w:r>
      <w:r w:rsidRPr="00F2107E">
        <w:rPr>
          <w:rFonts w:asciiTheme="minorHAnsi" w:eastAsiaTheme="minorEastAsia" w:hAnsiTheme="minorHAnsi" w:cstheme="minorBidi"/>
          <w:b w:val="0"/>
          <w:sz w:val="22"/>
        </w:rPr>
        <w:tab/>
      </w:r>
      <w:r>
        <w:t>Solutions for how to switch PDCCH monitoring pattern without explicit eNB signalling (e.g. as a way to save power) should be supported.</w:t>
      </w:r>
    </w:p>
    <w:p w14:paraId="48ADF60D" w14:textId="7832D2BA" w:rsidR="00C2346D" w:rsidRDefault="00C2346D" w:rsidP="00C2346D">
      <w:pPr>
        <w:rPr>
          <w:b/>
          <w:bCs/>
        </w:rPr>
      </w:pPr>
      <w:r>
        <w:rPr>
          <w:b/>
          <w:bCs/>
        </w:rPr>
        <w:fldChar w:fldCharType="end"/>
      </w:r>
    </w:p>
    <w:p w14:paraId="6AC6C5AE" w14:textId="77777777" w:rsidR="0055458B" w:rsidRPr="00CA20B5" w:rsidRDefault="0055458B" w:rsidP="0055458B">
      <w:pPr>
        <w:keepNext/>
        <w:keepLines/>
        <w:numPr>
          <w:ilvl w:val="0"/>
          <w:numId w:val="1"/>
        </w:numPr>
        <w:pBdr>
          <w:top w:val="single" w:sz="12" w:space="3" w:color="auto"/>
        </w:pBdr>
        <w:spacing w:before="240" w:after="180"/>
        <w:outlineLvl w:val="0"/>
        <w:rPr>
          <w:rFonts w:cs="Arial"/>
          <w:sz w:val="36"/>
          <w:szCs w:val="36"/>
        </w:rPr>
      </w:pPr>
      <w:r w:rsidRPr="00CA20B5">
        <w:rPr>
          <w:rFonts w:cs="Arial"/>
          <w:sz w:val="36"/>
          <w:szCs w:val="36"/>
        </w:rPr>
        <w:lastRenderedPageBreak/>
        <w:t>References</w:t>
      </w:r>
    </w:p>
    <w:p w14:paraId="669AA409" w14:textId="2C2B6659" w:rsidR="0055458B" w:rsidRPr="00152CB8" w:rsidRDefault="0055458B" w:rsidP="0055458B">
      <w:pPr>
        <w:numPr>
          <w:ilvl w:val="0"/>
          <w:numId w:val="2"/>
        </w:numPr>
      </w:pPr>
      <w:bookmarkStart w:id="65" w:name="_Ref465949296"/>
      <w:bookmarkStart w:id="66" w:name="_Ref174151459"/>
      <w:bookmarkStart w:id="67" w:name="_Ref189809556"/>
      <w:bookmarkStart w:id="68" w:name="_Ref478128343"/>
      <w:r w:rsidRPr="00A80AC9">
        <w:t>R2-170</w:t>
      </w:r>
      <w:r w:rsidR="00A80AC9">
        <w:t>4393</w:t>
      </w:r>
      <w:r w:rsidRPr="00A80AC9">
        <w:t xml:space="preserve">, </w:t>
      </w:r>
      <w:r w:rsidR="00A80AC9">
        <w:t>"</w:t>
      </w:r>
      <w:r w:rsidRPr="00A80AC9">
        <w:t>Impact</w:t>
      </w:r>
      <w:r w:rsidRPr="0055458B">
        <w:t xml:space="preserve"> of 1 ms subframe duration on UP timers</w:t>
      </w:r>
      <w:r w:rsidR="00A80AC9">
        <w:t>"</w:t>
      </w:r>
      <w:r w:rsidRPr="00CA20B5">
        <w:t xml:space="preserve">, </w:t>
      </w:r>
      <w:r>
        <w:t>Ericsson</w:t>
      </w:r>
      <w:r w:rsidRPr="00CA20B5">
        <w:t xml:space="preserve">, </w:t>
      </w:r>
      <w:r w:rsidR="00A80AC9">
        <w:t>RAN2#98, Hangzhou, P.R. China, 15</w:t>
      </w:r>
      <w:r w:rsidR="00A80AC9" w:rsidRPr="00A80AC9">
        <w:rPr>
          <w:vertAlign w:val="superscript"/>
        </w:rPr>
        <w:t>th</w:t>
      </w:r>
      <w:r w:rsidR="00A80AC9">
        <w:t xml:space="preserve"> – 19</w:t>
      </w:r>
      <w:r w:rsidR="00A80AC9" w:rsidRPr="00A80AC9">
        <w:rPr>
          <w:vertAlign w:val="superscript"/>
        </w:rPr>
        <w:t>th</w:t>
      </w:r>
      <w:r w:rsidR="00A80AC9">
        <w:t xml:space="preserve"> May 2017</w:t>
      </w:r>
      <w:bookmarkEnd w:id="65"/>
      <w:bookmarkEnd w:id="66"/>
      <w:bookmarkEnd w:id="67"/>
      <w:bookmarkEnd w:id="68"/>
    </w:p>
    <w:p w14:paraId="51C60A15" w14:textId="44F374C3" w:rsidR="004D0714" w:rsidRPr="004D0714" w:rsidRDefault="004D0714" w:rsidP="004D0714">
      <w:pPr>
        <w:pStyle w:val="Reference"/>
        <w:numPr>
          <w:ilvl w:val="0"/>
          <w:numId w:val="0"/>
        </w:numPr>
      </w:pPr>
    </w:p>
    <w:sectPr w:rsidR="004D0714" w:rsidRPr="004D071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2A398" w14:textId="77777777" w:rsidR="00E1477D" w:rsidRDefault="00E1477D">
      <w:r>
        <w:separator/>
      </w:r>
    </w:p>
  </w:endnote>
  <w:endnote w:type="continuationSeparator" w:id="0">
    <w:p w14:paraId="7E4A87F8" w14:textId="77777777" w:rsidR="00E1477D" w:rsidRDefault="00E1477D">
      <w:r>
        <w:continuationSeparator/>
      </w:r>
    </w:p>
  </w:endnote>
  <w:endnote w:type="continuationNotice" w:id="1">
    <w:p w14:paraId="56DBF4F6" w14:textId="77777777" w:rsidR="00E1477D" w:rsidRDefault="00E14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F3A53" w14:textId="77777777" w:rsidR="00A64BBB" w:rsidRDefault="00A64B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36DB1" w14:textId="3354ABF2" w:rsidR="00655F68" w:rsidRDefault="00655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B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BBB">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4B521" w14:textId="77777777" w:rsidR="00A64BBB" w:rsidRDefault="00A64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58A54" w14:textId="77777777" w:rsidR="00E1477D" w:rsidRDefault="00E1477D">
      <w:r>
        <w:separator/>
      </w:r>
    </w:p>
  </w:footnote>
  <w:footnote w:type="continuationSeparator" w:id="0">
    <w:p w14:paraId="43FA26AD" w14:textId="77777777" w:rsidR="00E1477D" w:rsidRDefault="00E1477D">
      <w:r>
        <w:continuationSeparator/>
      </w:r>
    </w:p>
  </w:footnote>
  <w:footnote w:type="continuationNotice" w:id="1">
    <w:p w14:paraId="21227518" w14:textId="77777777" w:rsidR="00E1477D" w:rsidRDefault="00E14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F2A94" w14:textId="77777777" w:rsidR="00655F68" w:rsidRDefault="00655F6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0467" w14:textId="77777777" w:rsidR="00A64BBB" w:rsidRDefault="00A64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C727F" w14:textId="77777777" w:rsidR="00A64BBB" w:rsidRDefault="00A64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9"/>
  </w:num>
  <w:num w:numId="15">
    <w:abstractNumId w:val="12"/>
  </w:num>
  <w:num w:numId="16">
    <w:abstractNumId w:val="5"/>
  </w:num>
  <w:num w:numId="17">
    <w:abstractNumId w:val="3"/>
  </w:num>
  <w:num w:numId="18">
    <w:abstractNumId w:val="17"/>
  </w:num>
  <w:num w:numId="19">
    <w:abstractNumId w:val="8"/>
  </w:num>
  <w:num w:numId="20">
    <w:abstractNumId w:val="9"/>
  </w:num>
  <w:num w:numId="21">
    <w:abstractNumId w:val="6"/>
  </w:num>
  <w:num w:numId="22">
    <w:abstractNumId w:val="4"/>
  </w:num>
  <w:num w:numId="23">
    <w:abstractNumId w:val="7"/>
  </w:num>
  <w:num w:numId="24">
    <w:abstractNumId w:val="10"/>
  </w:num>
  <w:num w:numId="25">
    <w:abstractNumId w:val="23"/>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176E"/>
    <w:rsid w:val="00063D08"/>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5C60"/>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CF4"/>
    <w:rsid w:val="0011431E"/>
    <w:rsid w:val="001153EA"/>
    <w:rsid w:val="00115643"/>
    <w:rsid w:val="00116765"/>
    <w:rsid w:val="00116DB5"/>
    <w:rsid w:val="00120FC5"/>
    <w:rsid w:val="001219F5"/>
    <w:rsid w:val="00121A20"/>
    <w:rsid w:val="001224E5"/>
    <w:rsid w:val="00122F2E"/>
    <w:rsid w:val="0012377F"/>
    <w:rsid w:val="00124314"/>
    <w:rsid w:val="00126874"/>
    <w:rsid w:val="00126B4A"/>
    <w:rsid w:val="00130784"/>
    <w:rsid w:val="00132FD0"/>
    <w:rsid w:val="001344C0"/>
    <w:rsid w:val="001346FA"/>
    <w:rsid w:val="00135252"/>
    <w:rsid w:val="00135E11"/>
    <w:rsid w:val="00137AB5"/>
    <w:rsid w:val="00137F0B"/>
    <w:rsid w:val="00140748"/>
    <w:rsid w:val="00142AEB"/>
    <w:rsid w:val="0014300A"/>
    <w:rsid w:val="00143775"/>
    <w:rsid w:val="00144A7C"/>
    <w:rsid w:val="00151B9C"/>
    <w:rsid w:val="00151E23"/>
    <w:rsid w:val="001526E0"/>
    <w:rsid w:val="00152CB8"/>
    <w:rsid w:val="00153433"/>
    <w:rsid w:val="001551B5"/>
    <w:rsid w:val="001643A8"/>
    <w:rsid w:val="001659C1"/>
    <w:rsid w:val="00166287"/>
    <w:rsid w:val="001705DC"/>
    <w:rsid w:val="00171B7F"/>
    <w:rsid w:val="00172979"/>
    <w:rsid w:val="00173A8E"/>
    <w:rsid w:val="00177787"/>
    <w:rsid w:val="00177795"/>
    <w:rsid w:val="0018143F"/>
    <w:rsid w:val="001850CF"/>
    <w:rsid w:val="001853B3"/>
    <w:rsid w:val="00186574"/>
    <w:rsid w:val="00186A5D"/>
    <w:rsid w:val="00187556"/>
    <w:rsid w:val="00190AC1"/>
    <w:rsid w:val="00191EFE"/>
    <w:rsid w:val="001931AF"/>
    <w:rsid w:val="0019341A"/>
    <w:rsid w:val="00194D83"/>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ADF"/>
    <w:rsid w:val="001C0D23"/>
    <w:rsid w:val="001C142F"/>
    <w:rsid w:val="001C1CE5"/>
    <w:rsid w:val="001C3D2A"/>
    <w:rsid w:val="001C3FD6"/>
    <w:rsid w:val="001C6495"/>
    <w:rsid w:val="001C7841"/>
    <w:rsid w:val="001D1548"/>
    <w:rsid w:val="001D1EDC"/>
    <w:rsid w:val="001D2B9E"/>
    <w:rsid w:val="001D4670"/>
    <w:rsid w:val="001D51BA"/>
    <w:rsid w:val="001D6342"/>
    <w:rsid w:val="001D6D53"/>
    <w:rsid w:val="001E2F83"/>
    <w:rsid w:val="001E4C55"/>
    <w:rsid w:val="001E58E2"/>
    <w:rsid w:val="001E7AED"/>
    <w:rsid w:val="001F0109"/>
    <w:rsid w:val="001F220E"/>
    <w:rsid w:val="001F28EC"/>
    <w:rsid w:val="001F33C1"/>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5632"/>
    <w:rsid w:val="00235872"/>
    <w:rsid w:val="0023688A"/>
    <w:rsid w:val="00240B9B"/>
    <w:rsid w:val="00241408"/>
    <w:rsid w:val="00241559"/>
    <w:rsid w:val="002435B3"/>
    <w:rsid w:val="00244412"/>
    <w:rsid w:val="002458EB"/>
    <w:rsid w:val="002500C8"/>
    <w:rsid w:val="00251816"/>
    <w:rsid w:val="00252B2B"/>
    <w:rsid w:val="00255D25"/>
    <w:rsid w:val="00256249"/>
    <w:rsid w:val="00257543"/>
    <w:rsid w:val="0026156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4568"/>
    <w:rsid w:val="002E4C98"/>
    <w:rsid w:val="002E55B2"/>
    <w:rsid w:val="002E6EA9"/>
    <w:rsid w:val="002E7CAE"/>
    <w:rsid w:val="002F08E4"/>
    <w:rsid w:val="002F1465"/>
    <w:rsid w:val="002F2771"/>
    <w:rsid w:val="002F2972"/>
    <w:rsid w:val="002F32CA"/>
    <w:rsid w:val="002F37A9"/>
    <w:rsid w:val="002F4850"/>
    <w:rsid w:val="002F6AA0"/>
    <w:rsid w:val="00301CE6"/>
    <w:rsid w:val="0030256B"/>
    <w:rsid w:val="00303F60"/>
    <w:rsid w:val="0030501F"/>
    <w:rsid w:val="00306DAB"/>
    <w:rsid w:val="00307BA1"/>
    <w:rsid w:val="00311702"/>
    <w:rsid w:val="00311D15"/>
    <w:rsid w:val="00311E82"/>
    <w:rsid w:val="00313FD6"/>
    <w:rsid w:val="003143BD"/>
    <w:rsid w:val="003203ED"/>
    <w:rsid w:val="0032235C"/>
    <w:rsid w:val="00322A70"/>
    <w:rsid w:val="00322C9F"/>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55E0"/>
    <w:rsid w:val="00365B73"/>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2223"/>
    <w:rsid w:val="003A2A0F"/>
    <w:rsid w:val="003A2DDB"/>
    <w:rsid w:val="003A45A1"/>
    <w:rsid w:val="003A5B0A"/>
    <w:rsid w:val="003A5F0F"/>
    <w:rsid w:val="003A6BAC"/>
    <w:rsid w:val="003A7EF3"/>
    <w:rsid w:val="003B159C"/>
    <w:rsid w:val="003B26E4"/>
    <w:rsid w:val="003B369F"/>
    <w:rsid w:val="003B36A3"/>
    <w:rsid w:val="003B38CB"/>
    <w:rsid w:val="003B677B"/>
    <w:rsid w:val="003B7FE5"/>
    <w:rsid w:val="003C11C8"/>
    <w:rsid w:val="003C2686"/>
    <w:rsid w:val="003C2702"/>
    <w:rsid w:val="003C7806"/>
    <w:rsid w:val="003D109F"/>
    <w:rsid w:val="003D2478"/>
    <w:rsid w:val="003D2880"/>
    <w:rsid w:val="003D2FC4"/>
    <w:rsid w:val="003D3C45"/>
    <w:rsid w:val="003D5B1F"/>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1EBF"/>
    <w:rsid w:val="003F2CD4"/>
    <w:rsid w:val="003F6BBE"/>
    <w:rsid w:val="003F7BFF"/>
    <w:rsid w:val="004000E8"/>
    <w:rsid w:val="00402E2B"/>
    <w:rsid w:val="004037B9"/>
    <w:rsid w:val="0040512B"/>
    <w:rsid w:val="00405CA5"/>
    <w:rsid w:val="00407CD3"/>
    <w:rsid w:val="00410134"/>
    <w:rsid w:val="00410B72"/>
    <w:rsid w:val="00410F18"/>
    <w:rsid w:val="0041263E"/>
    <w:rsid w:val="0041274A"/>
    <w:rsid w:val="00413016"/>
    <w:rsid w:val="00413AAC"/>
    <w:rsid w:val="00413DBF"/>
    <w:rsid w:val="00415E91"/>
    <w:rsid w:val="00416F04"/>
    <w:rsid w:val="00416FA0"/>
    <w:rsid w:val="00421105"/>
    <w:rsid w:val="00421A19"/>
    <w:rsid w:val="004242F4"/>
    <w:rsid w:val="0042562F"/>
    <w:rsid w:val="004270D9"/>
    <w:rsid w:val="00427248"/>
    <w:rsid w:val="00427757"/>
    <w:rsid w:val="00430672"/>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5F3A"/>
    <w:rsid w:val="004669E2"/>
    <w:rsid w:val="0047083E"/>
    <w:rsid w:val="00470C31"/>
    <w:rsid w:val="004734D0"/>
    <w:rsid w:val="0047556B"/>
    <w:rsid w:val="00477768"/>
    <w:rsid w:val="00482449"/>
    <w:rsid w:val="00483AC2"/>
    <w:rsid w:val="0048439E"/>
    <w:rsid w:val="00490780"/>
    <w:rsid w:val="00492BC5"/>
    <w:rsid w:val="004964F1"/>
    <w:rsid w:val="004A16BC"/>
    <w:rsid w:val="004A2B94"/>
    <w:rsid w:val="004B2CAA"/>
    <w:rsid w:val="004B7C0C"/>
    <w:rsid w:val="004C0CFB"/>
    <w:rsid w:val="004C3898"/>
    <w:rsid w:val="004C4C52"/>
    <w:rsid w:val="004D0714"/>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4F78AE"/>
    <w:rsid w:val="00501F3B"/>
    <w:rsid w:val="00506557"/>
    <w:rsid w:val="0050677A"/>
    <w:rsid w:val="005108D8"/>
    <w:rsid w:val="005116F9"/>
    <w:rsid w:val="005153A7"/>
    <w:rsid w:val="005219CF"/>
    <w:rsid w:val="00521E9D"/>
    <w:rsid w:val="00523D63"/>
    <w:rsid w:val="00526017"/>
    <w:rsid w:val="005309FC"/>
    <w:rsid w:val="00531978"/>
    <w:rsid w:val="00534B59"/>
    <w:rsid w:val="00536759"/>
    <w:rsid w:val="00537C62"/>
    <w:rsid w:val="00541D5E"/>
    <w:rsid w:val="005425A9"/>
    <w:rsid w:val="005465AE"/>
    <w:rsid w:val="00546970"/>
    <w:rsid w:val="00546A70"/>
    <w:rsid w:val="00553943"/>
    <w:rsid w:val="0055458B"/>
    <w:rsid w:val="00554E19"/>
    <w:rsid w:val="0055789C"/>
    <w:rsid w:val="00560AAF"/>
    <w:rsid w:val="0056121F"/>
    <w:rsid w:val="00564AB7"/>
    <w:rsid w:val="00567D41"/>
    <w:rsid w:val="0057236A"/>
    <w:rsid w:val="00572505"/>
    <w:rsid w:val="00573692"/>
    <w:rsid w:val="00576CDB"/>
    <w:rsid w:val="005814BF"/>
    <w:rsid w:val="00581E73"/>
    <w:rsid w:val="00582809"/>
    <w:rsid w:val="0058623C"/>
    <w:rsid w:val="0058798C"/>
    <w:rsid w:val="005900FA"/>
    <w:rsid w:val="00590AAF"/>
    <w:rsid w:val="005935A4"/>
    <w:rsid w:val="00594186"/>
    <w:rsid w:val="005941D5"/>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D62F2"/>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2EE"/>
    <w:rsid w:val="006057C0"/>
    <w:rsid w:val="00605F95"/>
    <w:rsid w:val="00606EA1"/>
    <w:rsid w:val="00611B83"/>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37DCF"/>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06A9"/>
    <w:rsid w:val="00681003"/>
    <w:rsid w:val="006817C9"/>
    <w:rsid w:val="00683ECE"/>
    <w:rsid w:val="00691BF6"/>
    <w:rsid w:val="00694BAA"/>
    <w:rsid w:val="00695FC2"/>
    <w:rsid w:val="00696949"/>
    <w:rsid w:val="00696F5F"/>
    <w:rsid w:val="00697052"/>
    <w:rsid w:val="00697576"/>
    <w:rsid w:val="006A094E"/>
    <w:rsid w:val="006A20ED"/>
    <w:rsid w:val="006A46FB"/>
    <w:rsid w:val="006A5E28"/>
    <w:rsid w:val="006A697B"/>
    <w:rsid w:val="006A7AFF"/>
    <w:rsid w:val="006B0E23"/>
    <w:rsid w:val="006B1816"/>
    <w:rsid w:val="006B2099"/>
    <w:rsid w:val="006B3D0E"/>
    <w:rsid w:val="006B4C5E"/>
    <w:rsid w:val="006B50CF"/>
    <w:rsid w:val="006C03B8"/>
    <w:rsid w:val="006C1B23"/>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208"/>
    <w:rsid w:val="00727680"/>
    <w:rsid w:val="00731D20"/>
    <w:rsid w:val="007348B1"/>
    <w:rsid w:val="00734B23"/>
    <w:rsid w:val="00734B9B"/>
    <w:rsid w:val="00735E54"/>
    <w:rsid w:val="007362A6"/>
    <w:rsid w:val="00736D7D"/>
    <w:rsid w:val="00740E58"/>
    <w:rsid w:val="00742E43"/>
    <w:rsid w:val="007445A0"/>
    <w:rsid w:val="0074524B"/>
    <w:rsid w:val="00747D8B"/>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177E"/>
    <w:rsid w:val="00782737"/>
    <w:rsid w:val="0078302A"/>
    <w:rsid w:val="0078304C"/>
    <w:rsid w:val="00783673"/>
    <w:rsid w:val="007851F4"/>
    <w:rsid w:val="00785490"/>
    <w:rsid w:val="00790076"/>
    <w:rsid w:val="00792457"/>
    <w:rsid w:val="007925EA"/>
    <w:rsid w:val="00793CD8"/>
    <w:rsid w:val="007953C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66D0"/>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32D5"/>
    <w:rsid w:val="008F33DC"/>
    <w:rsid w:val="008F477F"/>
    <w:rsid w:val="008F63BC"/>
    <w:rsid w:val="00901E0F"/>
    <w:rsid w:val="00902350"/>
    <w:rsid w:val="0090336B"/>
    <w:rsid w:val="0090539D"/>
    <w:rsid w:val="009053AA"/>
    <w:rsid w:val="00906939"/>
    <w:rsid w:val="00910B7D"/>
    <w:rsid w:val="00911DFB"/>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603D"/>
    <w:rsid w:val="00976949"/>
    <w:rsid w:val="00980477"/>
    <w:rsid w:val="00982470"/>
    <w:rsid w:val="00983A88"/>
    <w:rsid w:val="00984E45"/>
    <w:rsid w:val="00985253"/>
    <w:rsid w:val="009853B3"/>
    <w:rsid w:val="00985455"/>
    <w:rsid w:val="0098745C"/>
    <w:rsid w:val="00990630"/>
    <w:rsid w:val="00991761"/>
    <w:rsid w:val="009921F9"/>
    <w:rsid w:val="00992278"/>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2D27"/>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376DB"/>
    <w:rsid w:val="00A41E2B"/>
    <w:rsid w:val="00A4255F"/>
    <w:rsid w:val="00A45B74"/>
    <w:rsid w:val="00A4718A"/>
    <w:rsid w:val="00A52E1D"/>
    <w:rsid w:val="00A541ED"/>
    <w:rsid w:val="00A607EB"/>
    <w:rsid w:val="00A61499"/>
    <w:rsid w:val="00A62A77"/>
    <w:rsid w:val="00A63483"/>
    <w:rsid w:val="00A64BBB"/>
    <w:rsid w:val="00A657D7"/>
    <w:rsid w:val="00A660AC"/>
    <w:rsid w:val="00A67E67"/>
    <w:rsid w:val="00A67E6C"/>
    <w:rsid w:val="00A701A8"/>
    <w:rsid w:val="00A71408"/>
    <w:rsid w:val="00A71B99"/>
    <w:rsid w:val="00A739D0"/>
    <w:rsid w:val="00A761D4"/>
    <w:rsid w:val="00A77EC4"/>
    <w:rsid w:val="00A806C5"/>
    <w:rsid w:val="00A80AC9"/>
    <w:rsid w:val="00A81862"/>
    <w:rsid w:val="00A819BF"/>
    <w:rsid w:val="00A910B7"/>
    <w:rsid w:val="00A91E99"/>
    <w:rsid w:val="00A92879"/>
    <w:rsid w:val="00A9442A"/>
    <w:rsid w:val="00AA016F"/>
    <w:rsid w:val="00AA1ED6"/>
    <w:rsid w:val="00AA51D6"/>
    <w:rsid w:val="00AA53FC"/>
    <w:rsid w:val="00AB0BC8"/>
    <w:rsid w:val="00AB11CA"/>
    <w:rsid w:val="00AB14D9"/>
    <w:rsid w:val="00AB3708"/>
    <w:rsid w:val="00AB4AB8"/>
    <w:rsid w:val="00AB4F06"/>
    <w:rsid w:val="00AB655E"/>
    <w:rsid w:val="00AC007F"/>
    <w:rsid w:val="00AC037D"/>
    <w:rsid w:val="00AC200A"/>
    <w:rsid w:val="00AC2ECD"/>
    <w:rsid w:val="00AC3119"/>
    <w:rsid w:val="00AC3812"/>
    <w:rsid w:val="00AC3B3A"/>
    <w:rsid w:val="00AC3E1B"/>
    <w:rsid w:val="00AC49FB"/>
    <w:rsid w:val="00AC507E"/>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1D67"/>
    <w:rsid w:val="00B2763F"/>
    <w:rsid w:val="00B27AAC"/>
    <w:rsid w:val="00B30929"/>
    <w:rsid w:val="00B324A9"/>
    <w:rsid w:val="00B3410D"/>
    <w:rsid w:val="00B372AA"/>
    <w:rsid w:val="00B37AD8"/>
    <w:rsid w:val="00B40445"/>
    <w:rsid w:val="00B4113F"/>
    <w:rsid w:val="00B41888"/>
    <w:rsid w:val="00B45A52"/>
    <w:rsid w:val="00B46175"/>
    <w:rsid w:val="00B51905"/>
    <w:rsid w:val="00B6229F"/>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11BC"/>
    <w:rsid w:val="00BC3053"/>
    <w:rsid w:val="00BC4D2E"/>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408C5"/>
    <w:rsid w:val="00C40D36"/>
    <w:rsid w:val="00C47C8C"/>
    <w:rsid w:val="00C53112"/>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4FF"/>
    <w:rsid w:val="00C93793"/>
    <w:rsid w:val="00C93C4B"/>
    <w:rsid w:val="00C944AB"/>
    <w:rsid w:val="00C95A0C"/>
    <w:rsid w:val="00C95B40"/>
    <w:rsid w:val="00C967F3"/>
    <w:rsid w:val="00C9738E"/>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4EC7"/>
    <w:rsid w:val="00CF506B"/>
    <w:rsid w:val="00CF625B"/>
    <w:rsid w:val="00CF687E"/>
    <w:rsid w:val="00CF6C73"/>
    <w:rsid w:val="00CF71E3"/>
    <w:rsid w:val="00CF7205"/>
    <w:rsid w:val="00D0349B"/>
    <w:rsid w:val="00D04434"/>
    <w:rsid w:val="00D063D4"/>
    <w:rsid w:val="00D10249"/>
    <w:rsid w:val="00D115C3"/>
    <w:rsid w:val="00D11897"/>
    <w:rsid w:val="00D11C42"/>
    <w:rsid w:val="00D12C40"/>
    <w:rsid w:val="00D12CF3"/>
    <w:rsid w:val="00D13135"/>
    <w:rsid w:val="00D1329F"/>
    <w:rsid w:val="00D13E4E"/>
    <w:rsid w:val="00D218E1"/>
    <w:rsid w:val="00D22BF3"/>
    <w:rsid w:val="00D239A7"/>
    <w:rsid w:val="00D23BD2"/>
    <w:rsid w:val="00D23F47"/>
    <w:rsid w:val="00D24544"/>
    <w:rsid w:val="00D25387"/>
    <w:rsid w:val="00D3005B"/>
    <w:rsid w:val="00D33E18"/>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5FD1"/>
    <w:rsid w:val="00D576CA"/>
    <w:rsid w:val="00D60E13"/>
    <w:rsid w:val="00D60FA0"/>
    <w:rsid w:val="00D61AF5"/>
    <w:rsid w:val="00D62585"/>
    <w:rsid w:val="00D625C9"/>
    <w:rsid w:val="00D62CD5"/>
    <w:rsid w:val="00D6435F"/>
    <w:rsid w:val="00D64796"/>
    <w:rsid w:val="00D652B5"/>
    <w:rsid w:val="00D66155"/>
    <w:rsid w:val="00D708B0"/>
    <w:rsid w:val="00D7253C"/>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C7F2C"/>
    <w:rsid w:val="00DD0708"/>
    <w:rsid w:val="00DD1C46"/>
    <w:rsid w:val="00DD1F83"/>
    <w:rsid w:val="00DD42DD"/>
    <w:rsid w:val="00DD4573"/>
    <w:rsid w:val="00DD4C4A"/>
    <w:rsid w:val="00DD5403"/>
    <w:rsid w:val="00DE5109"/>
    <w:rsid w:val="00DE5608"/>
    <w:rsid w:val="00DE58D0"/>
    <w:rsid w:val="00DE5947"/>
    <w:rsid w:val="00DE654F"/>
    <w:rsid w:val="00DE6B35"/>
    <w:rsid w:val="00DE6D42"/>
    <w:rsid w:val="00DF0B6E"/>
    <w:rsid w:val="00DF15E0"/>
    <w:rsid w:val="00DF3287"/>
    <w:rsid w:val="00DF37A0"/>
    <w:rsid w:val="00DF59CA"/>
    <w:rsid w:val="00DF6CA4"/>
    <w:rsid w:val="00E03965"/>
    <w:rsid w:val="00E10CA0"/>
    <w:rsid w:val="00E110E7"/>
    <w:rsid w:val="00E11B20"/>
    <w:rsid w:val="00E13A7D"/>
    <w:rsid w:val="00E1477D"/>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6654"/>
    <w:rsid w:val="00E3723A"/>
    <w:rsid w:val="00E37860"/>
    <w:rsid w:val="00E37B36"/>
    <w:rsid w:val="00E4275D"/>
    <w:rsid w:val="00E446F1"/>
    <w:rsid w:val="00E461E2"/>
    <w:rsid w:val="00E46886"/>
    <w:rsid w:val="00E47AEF"/>
    <w:rsid w:val="00E53B75"/>
    <w:rsid w:val="00E54762"/>
    <w:rsid w:val="00E54E3B"/>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6B4"/>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E2CEE"/>
    <w:rsid w:val="00EE619C"/>
    <w:rsid w:val="00EE64AC"/>
    <w:rsid w:val="00EF141C"/>
    <w:rsid w:val="00EF18FE"/>
    <w:rsid w:val="00EF27C3"/>
    <w:rsid w:val="00EF49B4"/>
    <w:rsid w:val="00EF5787"/>
    <w:rsid w:val="00EF60D0"/>
    <w:rsid w:val="00F027CE"/>
    <w:rsid w:val="00F0296B"/>
    <w:rsid w:val="00F0528D"/>
    <w:rsid w:val="00F0545B"/>
    <w:rsid w:val="00F061AF"/>
    <w:rsid w:val="00F06C67"/>
    <w:rsid w:val="00F06DFD"/>
    <w:rsid w:val="00F071D1"/>
    <w:rsid w:val="00F07533"/>
    <w:rsid w:val="00F1045F"/>
    <w:rsid w:val="00F10629"/>
    <w:rsid w:val="00F136FD"/>
    <w:rsid w:val="00F15FA5"/>
    <w:rsid w:val="00F209B7"/>
    <w:rsid w:val="00F2107E"/>
    <w:rsid w:val="00F2376F"/>
    <w:rsid w:val="00F243D8"/>
    <w:rsid w:val="00F25580"/>
    <w:rsid w:val="00F264F1"/>
    <w:rsid w:val="00F27127"/>
    <w:rsid w:val="00F27D4C"/>
    <w:rsid w:val="00F30828"/>
    <w:rsid w:val="00F313D6"/>
    <w:rsid w:val="00F40F0C"/>
    <w:rsid w:val="00F43FF7"/>
    <w:rsid w:val="00F45088"/>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CE7"/>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4BBB"/>
    <w:pPr>
      <w:spacing w:after="160" w:line="259" w:lineRule="auto"/>
    </w:pPr>
    <w:rPr>
      <w:rFonts w:ascii="Arial" w:eastAsiaTheme="minorEastAsia" w:hAnsi="Arial" w:cstheme="minorBidi"/>
      <w:szCs w:val="22"/>
      <w:lang w:val="en-US" w:eastAsia="zh-CN"/>
    </w:rPr>
  </w:style>
  <w:style w:type="paragraph" w:styleId="Heading1">
    <w:name w:val="heading 1"/>
    <w:next w:val="Normal"/>
    <w:link w:val="Heading1Char"/>
    <w:qFormat/>
    <w:rsid w:val="00F210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F2107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2107E"/>
    <w:pPr>
      <w:numPr>
        <w:ilvl w:val="2"/>
      </w:numPr>
      <w:spacing w:before="120"/>
      <w:outlineLvl w:val="2"/>
    </w:pPr>
    <w:rPr>
      <w:sz w:val="28"/>
      <w:szCs w:val="28"/>
    </w:rPr>
  </w:style>
  <w:style w:type="paragraph" w:styleId="Heading4">
    <w:name w:val="heading 4"/>
    <w:basedOn w:val="Heading3"/>
    <w:next w:val="Normal"/>
    <w:qFormat/>
    <w:rsid w:val="00F2107E"/>
    <w:pPr>
      <w:numPr>
        <w:ilvl w:val="3"/>
      </w:numPr>
      <w:outlineLvl w:val="3"/>
    </w:pPr>
    <w:rPr>
      <w:sz w:val="24"/>
      <w:szCs w:val="24"/>
    </w:rPr>
  </w:style>
  <w:style w:type="paragraph" w:styleId="Heading5">
    <w:name w:val="heading 5"/>
    <w:basedOn w:val="Heading4"/>
    <w:next w:val="Normal"/>
    <w:qFormat/>
    <w:rsid w:val="00F2107E"/>
    <w:pPr>
      <w:numPr>
        <w:ilvl w:val="4"/>
      </w:numPr>
      <w:outlineLvl w:val="4"/>
    </w:pPr>
    <w:rPr>
      <w:sz w:val="22"/>
      <w:szCs w:val="22"/>
    </w:rPr>
  </w:style>
  <w:style w:type="paragraph" w:styleId="Heading6">
    <w:name w:val="heading 6"/>
    <w:basedOn w:val="Normal"/>
    <w:next w:val="Normal"/>
    <w:qFormat/>
    <w:rsid w:val="00F2107E"/>
    <w:pPr>
      <w:keepNext/>
      <w:keepLines/>
      <w:numPr>
        <w:ilvl w:val="5"/>
        <w:numId w:val="1"/>
      </w:numPr>
      <w:spacing w:before="120"/>
      <w:outlineLvl w:val="5"/>
    </w:pPr>
    <w:rPr>
      <w:rFonts w:cs="Arial"/>
    </w:rPr>
  </w:style>
  <w:style w:type="paragraph" w:styleId="Heading7">
    <w:name w:val="heading 7"/>
    <w:basedOn w:val="Normal"/>
    <w:next w:val="Normal"/>
    <w:qFormat/>
    <w:rsid w:val="00F2107E"/>
    <w:pPr>
      <w:keepNext/>
      <w:keepLines/>
      <w:numPr>
        <w:ilvl w:val="6"/>
        <w:numId w:val="1"/>
      </w:numPr>
      <w:spacing w:before="120"/>
      <w:outlineLvl w:val="6"/>
    </w:pPr>
    <w:rPr>
      <w:rFonts w:cs="Arial"/>
    </w:rPr>
  </w:style>
  <w:style w:type="paragraph" w:styleId="Heading8">
    <w:name w:val="heading 8"/>
    <w:basedOn w:val="Heading7"/>
    <w:next w:val="Normal"/>
    <w:qFormat/>
    <w:rsid w:val="00F2107E"/>
    <w:pPr>
      <w:numPr>
        <w:ilvl w:val="7"/>
      </w:numPr>
      <w:outlineLvl w:val="7"/>
    </w:pPr>
  </w:style>
  <w:style w:type="paragraph" w:styleId="Heading9">
    <w:name w:val="heading 9"/>
    <w:basedOn w:val="Heading8"/>
    <w:next w:val="Normal"/>
    <w:qFormat/>
    <w:rsid w:val="00F2107E"/>
    <w:pPr>
      <w:numPr>
        <w:ilvl w:val="8"/>
      </w:numPr>
      <w:outlineLvl w:val="8"/>
    </w:pPr>
  </w:style>
  <w:style w:type="character" w:default="1" w:styleId="DefaultParagraphFont">
    <w:name w:val="Default Paragraph Font"/>
    <w:uiPriority w:val="1"/>
    <w:semiHidden/>
    <w:unhideWhenUsed/>
    <w:rsid w:val="00A64B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4BBB"/>
  </w:style>
  <w:style w:type="paragraph" w:styleId="TOC8">
    <w:name w:val="toc 8"/>
    <w:basedOn w:val="TOC1"/>
    <w:semiHidden/>
    <w:rsid w:val="00F2107E"/>
    <w:pPr>
      <w:spacing w:before="180"/>
      <w:ind w:left="2693" w:hanging="2693"/>
    </w:pPr>
    <w:rPr>
      <w:b w:val="0"/>
      <w:bCs/>
    </w:rPr>
  </w:style>
  <w:style w:type="paragraph" w:styleId="TOC1">
    <w:name w:val="toc 1"/>
    <w:aliases w:val="Observation TOC2"/>
    <w:uiPriority w:val="39"/>
    <w:rsid w:val="00F2107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2107E"/>
    <w:pPr>
      <w:keepNext/>
      <w:keepLines/>
      <w:spacing w:before="180"/>
      <w:jc w:val="center"/>
    </w:pPr>
  </w:style>
  <w:style w:type="paragraph" w:styleId="Caption">
    <w:name w:val="caption"/>
    <w:basedOn w:val="Normal"/>
    <w:next w:val="Normal"/>
    <w:qFormat/>
    <w:rsid w:val="00F2107E"/>
    <w:pPr>
      <w:spacing w:after="240"/>
      <w:jc w:val="center"/>
    </w:pPr>
    <w:rPr>
      <w:b/>
      <w:bCs/>
    </w:rPr>
  </w:style>
  <w:style w:type="paragraph" w:styleId="TOC5">
    <w:name w:val="toc 5"/>
    <w:aliases w:val="Observation TOC"/>
    <w:basedOn w:val="TOC4"/>
    <w:semiHidden/>
    <w:rsid w:val="00F2107E"/>
    <w:pPr>
      <w:tabs>
        <w:tab w:val="right" w:pos="1701"/>
      </w:tabs>
      <w:ind w:left="1701" w:hanging="1701"/>
    </w:pPr>
  </w:style>
  <w:style w:type="paragraph" w:styleId="TOC4">
    <w:name w:val="toc 4"/>
    <w:basedOn w:val="TOC3"/>
    <w:semiHidden/>
    <w:rsid w:val="00F2107E"/>
    <w:pPr>
      <w:ind w:left="1418" w:hanging="1418"/>
    </w:pPr>
  </w:style>
  <w:style w:type="paragraph" w:styleId="TOC3">
    <w:name w:val="toc 3"/>
    <w:basedOn w:val="TOC2"/>
    <w:semiHidden/>
    <w:rsid w:val="00F2107E"/>
    <w:pPr>
      <w:ind w:left="1134" w:hanging="1134"/>
    </w:pPr>
  </w:style>
  <w:style w:type="paragraph" w:styleId="TOC2">
    <w:name w:val="toc 2"/>
    <w:basedOn w:val="TOC1"/>
    <w:semiHidden/>
    <w:rsid w:val="00F2107E"/>
    <w:pPr>
      <w:keepNext w:val="0"/>
      <w:spacing w:before="0"/>
      <w:ind w:left="851" w:hanging="851"/>
    </w:pPr>
    <w:rPr>
      <w:szCs w:val="20"/>
    </w:rPr>
  </w:style>
  <w:style w:type="paragraph" w:styleId="Index2">
    <w:name w:val="index 2"/>
    <w:basedOn w:val="Index1"/>
    <w:semiHidden/>
    <w:rsid w:val="00F2107E"/>
    <w:pPr>
      <w:ind w:left="284"/>
    </w:pPr>
  </w:style>
  <w:style w:type="paragraph" w:styleId="Index1">
    <w:name w:val="index 1"/>
    <w:basedOn w:val="Normal"/>
    <w:semiHidden/>
    <w:rsid w:val="00F2107E"/>
    <w:pPr>
      <w:keepLines/>
      <w:spacing w:after="0"/>
    </w:pPr>
  </w:style>
  <w:style w:type="paragraph" w:styleId="DocumentMap">
    <w:name w:val="Document Map"/>
    <w:basedOn w:val="Normal"/>
    <w:semiHidden/>
    <w:rsid w:val="00F2107E"/>
    <w:pPr>
      <w:shd w:val="clear" w:color="auto" w:fill="000080"/>
    </w:pPr>
    <w:rPr>
      <w:rFonts w:ascii="Tahoma" w:hAnsi="Tahoma" w:cs="Tahoma"/>
    </w:rPr>
  </w:style>
  <w:style w:type="paragraph" w:styleId="ListNumber2">
    <w:name w:val="List Number 2"/>
    <w:basedOn w:val="ListNumber"/>
    <w:rsid w:val="00F2107E"/>
    <w:pPr>
      <w:ind w:left="851"/>
    </w:pPr>
  </w:style>
  <w:style w:type="paragraph" w:styleId="ListNumber">
    <w:name w:val="List Number"/>
    <w:basedOn w:val="List"/>
    <w:rsid w:val="00F2107E"/>
  </w:style>
  <w:style w:type="paragraph" w:styleId="List">
    <w:name w:val="List"/>
    <w:basedOn w:val="Normal"/>
    <w:rsid w:val="00F2107E"/>
    <w:pPr>
      <w:ind w:left="568" w:hanging="284"/>
    </w:pPr>
  </w:style>
  <w:style w:type="paragraph" w:styleId="Header">
    <w:name w:val="header"/>
    <w:rsid w:val="00F2107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2107E"/>
    <w:rPr>
      <w:b/>
      <w:bCs/>
      <w:position w:val="6"/>
      <w:sz w:val="16"/>
      <w:szCs w:val="16"/>
    </w:rPr>
  </w:style>
  <w:style w:type="paragraph" w:styleId="FootnoteText">
    <w:name w:val="footnote text"/>
    <w:basedOn w:val="Normal"/>
    <w:semiHidden/>
    <w:rsid w:val="00F2107E"/>
    <w:pPr>
      <w:keepLines/>
      <w:spacing w:after="0"/>
      <w:ind w:left="454" w:hanging="454"/>
    </w:pPr>
    <w:rPr>
      <w:sz w:val="16"/>
      <w:szCs w:val="16"/>
    </w:rPr>
  </w:style>
  <w:style w:type="paragraph" w:customStyle="1" w:styleId="3GPPHeader">
    <w:name w:val="3GPP_Header"/>
    <w:basedOn w:val="Normal"/>
    <w:rsid w:val="00F2107E"/>
    <w:pPr>
      <w:tabs>
        <w:tab w:val="left" w:pos="1701"/>
        <w:tab w:val="right" w:pos="9639"/>
      </w:tabs>
      <w:spacing w:after="240"/>
    </w:pPr>
    <w:rPr>
      <w:b/>
      <w:sz w:val="24"/>
    </w:rPr>
  </w:style>
  <w:style w:type="paragraph" w:styleId="TOC9">
    <w:name w:val="toc 9"/>
    <w:basedOn w:val="TOC8"/>
    <w:semiHidden/>
    <w:rsid w:val="00F2107E"/>
    <w:pPr>
      <w:ind w:left="1418" w:hanging="1418"/>
    </w:pPr>
  </w:style>
  <w:style w:type="paragraph" w:styleId="TOC6">
    <w:name w:val="toc 6"/>
    <w:basedOn w:val="TOC5"/>
    <w:next w:val="Normal"/>
    <w:semiHidden/>
    <w:rsid w:val="00F2107E"/>
    <w:pPr>
      <w:ind w:left="1985" w:hanging="1985"/>
    </w:pPr>
  </w:style>
  <w:style w:type="paragraph" w:styleId="TOC7">
    <w:name w:val="toc 7"/>
    <w:basedOn w:val="TOC6"/>
    <w:next w:val="Normal"/>
    <w:semiHidden/>
    <w:rsid w:val="00F2107E"/>
    <w:pPr>
      <w:ind w:left="2268" w:hanging="2268"/>
    </w:pPr>
  </w:style>
  <w:style w:type="paragraph" w:styleId="ListBullet2">
    <w:name w:val="List Bullet 2"/>
    <w:basedOn w:val="ListBullet"/>
    <w:rsid w:val="00F2107E"/>
    <w:pPr>
      <w:numPr>
        <w:numId w:val="6"/>
      </w:numPr>
    </w:pPr>
  </w:style>
  <w:style w:type="paragraph" w:styleId="ListBullet">
    <w:name w:val="List Bullet"/>
    <w:basedOn w:val="BodyText"/>
    <w:rsid w:val="00F2107E"/>
    <w:pPr>
      <w:numPr>
        <w:numId w:val="5"/>
      </w:numPr>
    </w:pPr>
  </w:style>
  <w:style w:type="paragraph" w:styleId="ListBullet3">
    <w:name w:val="List Bullet 3"/>
    <w:basedOn w:val="ListBullet2"/>
    <w:rsid w:val="00F2107E"/>
    <w:pPr>
      <w:numPr>
        <w:numId w:val="7"/>
      </w:numPr>
    </w:pPr>
  </w:style>
  <w:style w:type="paragraph" w:customStyle="1" w:styleId="EQ">
    <w:name w:val="EQ"/>
    <w:basedOn w:val="Normal"/>
    <w:next w:val="Normal"/>
    <w:rsid w:val="00F2107E"/>
    <w:pPr>
      <w:keepLines/>
      <w:tabs>
        <w:tab w:val="center" w:pos="4536"/>
        <w:tab w:val="right" w:pos="9072"/>
      </w:tabs>
      <w:spacing w:after="180"/>
    </w:pPr>
    <w:rPr>
      <w:noProof/>
      <w:lang w:eastAsia="en-US"/>
    </w:rPr>
  </w:style>
  <w:style w:type="paragraph" w:styleId="List2">
    <w:name w:val="List 2"/>
    <w:basedOn w:val="List"/>
    <w:rsid w:val="00F2107E"/>
    <w:pPr>
      <w:ind w:left="851"/>
    </w:pPr>
  </w:style>
  <w:style w:type="paragraph" w:styleId="List3">
    <w:name w:val="List 3"/>
    <w:basedOn w:val="List2"/>
    <w:rsid w:val="00F2107E"/>
    <w:pPr>
      <w:ind w:left="1135"/>
    </w:pPr>
  </w:style>
  <w:style w:type="paragraph" w:styleId="List4">
    <w:name w:val="List 4"/>
    <w:basedOn w:val="List3"/>
    <w:rsid w:val="00F2107E"/>
    <w:pPr>
      <w:ind w:left="1418"/>
    </w:pPr>
  </w:style>
  <w:style w:type="paragraph" w:styleId="List5">
    <w:name w:val="List 5"/>
    <w:basedOn w:val="List4"/>
    <w:rsid w:val="00F2107E"/>
    <w:pPr>
      <w:ind w:left="1702"/>
    </w:pPr>
  </w:style>
  <w:style w:type="paragraph" w:customStyle="1" w:styleId="EditorsNote">
    <w:name w:val="Editor's Note"/>
    <w:basedOn w:val="Normal"/>
    <w:rsid w:val="00F2107E"/>
    <w:pPr>
      <w:keepLines/>
      <w:spacing w:after="180"/>
      <w:ind w:left="1135" w:hanging="851"/>
    </w:pPr>
    <w:rPr>
      <w:color w:val="FF0000"/>
      <w:lang w:eastAsia="en-US"/>
    </w:rPr>
  </w:style>
  <w:style w:type="paragraph" w:styleId="ListBullet4">
    <w:name w:val="List Bullet 4"/>
    <w:basedOn w:val="ListBullet3"/>
    <w:rsid w:val="00F2107E"/>
    <w:pPr>
      <w:numPr>
        <w:numId w:val="8"/>
      </w:numPr>
    </w:pPr>
  </w:style>
  <w:style w:type="paragraph" w:styleId="ListBullet5">
    <w:name w:val="List Bullet 5"/>
    <w:basedOn w:val="ListBullet4"/>
    <w:rsid w:val="00F2107E"/>
    <w:pPr>
      <w:numPr>
        <w:numId w:val="4"/>
      </w:numPr>
    </w:pPr>
  </w:style>
  <w:style w:type="paragraph" w:styleId="Footer">
    <w:name w:val="footer"/>
    <w:basedOn w:val="Header"/>
    <w:semiHidden/>
    <w:rsid w:val="00F2107E"/>
    <w:pPr>
      <w:jc w:val="center"/>
    </w:pPr>
    <w:rPr>
      <w:i/>
      <w:iCs/>
    </w:rPr>
  </w:style>
  <w:style w:type="paragraph" w:customStyle="1" w:styleId="Reference">
    <w:name w:val="Reference"/>
    <w:basedOn w:val="Normal"/>
    <w:rsid w:val="00F2107E"/>
    <w:pPr>
      <w:numPr>
        <w:numId w:val="2"/>
      </w:numPr>
    </w:pPr>
  </w:style>
  <w:style w:type="paragraph" w:styleId="BalloonText">
    <w:name w:val="Balloon Text"/>
    <w:basedOn w:val="Normal"/>
    <w:semiHidden/>
    <w:rsid w:val="00F2107E"/>
    <w:rPr>
      <w:rFonts w:ascii="Tahoma" w:hAnsi="Tahoma" w:cs="Tahoma"/>
      <w:sz w:val="16"/>
      <w:szCs w:val="16"/>
    </w:rPr>
  </w:style>
  <w:style w:type="character" w:styleId="PageNumber">
    <w:name w:val="page number"/>
    <w:basedOn w:val="DefaultParagraphFont"/>
    <w:semiHidden/>
    <w:rsid w:val="00F2107E"/>
  </w:style>
  <w:style w:type="paragraph" w:styleId="BodyText">
    <w:name w:val="Body Text"/>
    <w:basedOn w:val="Normal"/>
    <w:link w:val="BodyTextChar"/>
    <w:rsid w:val="00F2107E"/>
  </w:style>
  <w:style w:type="character" w:styleId="Hyperlink">
    <w:name w:val="Hyperlink"/>
    <w:uiPriority w:val="99"/>
    <w:rsid w:val="00F2107E"/>
    <w:rPr>
      <w:color w:val="0000FF"/>
      <w:u w:val="single"/>
      <w:lang w:val="en-GB"/>
    </w:rPr>
  </w:style>
  <w:style w:type="character" w:styleId="FollowedHyperlink">
    <w:name w:val="FollowedHyperlink"/>
    <w:semiHidden/>
    <w:rsid w:val="00F2107E"/>
    <w:rPr>
      <w:color w:val="FF0000"/>
      <w:u w:val="single"/>
    </w:rPr>
  </w:style>
  <w:style w:type="character" w:styleId="CommentReference">
    <w:name w:val="annotation reference"/>
    <w:semiHidden/>
    <w:rsid w:val="00F2107E"/>
    <w:rPr>
      <w:sz w:val="16"/>
      <w:szCs w:val="16"/>
    </w:rPr>
  </w:style>
  <w:style w:type="paragraph" w:styleId="CommentText">
    <w:name w:val="annotation text"/>
    <w:basedOn w:val="Normal"/>
    <w:semiHidden/>
    <w:rsid w:val="00F2107E"/>
  </w:style>
  <w:style w:type="paragraph" w:styleId="CommentSubject">
    <w:name w:val="annotation subject"/>
    <w:basedOn w:val="CommentText"/>
    <w:next w:val="CommentText"/>
    <w:semiHidden/>
    <w:rsid w:val="00F2107E"/>
    <w:rPr>
      <w:b/>
      <w:bCs/>
    </w:rPr>
  </w:style>
  <w:style w:type="character" w:customStyle="1" w:styleId="Heading1Char">
    <w:name w:val="Heading 1 Char"/>
    <w:link w:val="Heading1"/>
    <w:rsid w:val="00F2107E"/>
    <w:rPr>
      <w:rFonts w:ascii="Arial" w:eastAsia="Times New Roman" w:hAnsi="Arial" w:cs="Arial"/>
      <w:sz w:val="36"/>
      <w:szCs w:val="36"/>
      <w:lang w:val="en-GB" w:eastAsia="zh-CN"/>
    </w:rPr>
  </w:style>
  <w:style w:type="paragraph" w:customStyle="1" w:styleId="B1">
    <w:name w:val="B1"/>
    <w:basedOn w:val="List"/>
    <w:link w:val="B1Char"/>
    <w:rsid w:val="00F2107E"/>
    <w:pPr>
      <w:spacing w:after="180"/>
    </w:pPr>
    <w:rPr>
      <w:lang w:eastAsia="en-US"/>
    </w:rPr>
  </w:style>
  <w:style w:type="paragraph" w:customStyle="1" w:styleId="B2">
    <w:name w:val="B2"/>
    <w:basedOn w:val="List2"/>
    <w:rsid w:val="00F2107E"/>
    <w:pPr>
      <w:spacing w:after="180"/>
    </w:pPr>
    <w:rPr>
      <w:lang w:eastAsia="en-US"/>
    </w:rPr>
  </w:style>
  <w:style w:type="paragraph" w:customStyle="1" w:styleId="B3">
    <w:name w:val="B3"/>
    <w:basedOn w:val="List3"/>
    <w:rsid w:val="00F2107E"/>
    <w:pPr>
      <w:spacing w:after="180"/>
    </w:pPr>
    <w:rPr>
      <w:lang w:eastAsia="en-US"/>
    </w:rPr>
  </w:style>
  <w:style w:type="paragraph" w:customStyle="1" w:styleId="B4">
    <w:name w:val="B4"/>
    <w:basedOn w:val="List4"/>
    <w:rsid w:val="00F2107E"/>
    <w:pPr>
      <w:spacing w:after="180"/>
    </w:pPr>
    <w:rPr>
      <w:lang w:eastAsia="en-US"/>
    </w:rPr>
  </w:style>
  <w:style w:type="paragraph" w:customStyle="1" w:styleId="Proposal">
    <w:name w:val="Proposal"/>
    <w:basedOn w:val="Normal"/>
    <w:rsid w:val="00F2107E"/>
    <w:pPr>
      <w:numPr>
        <w:numId w:val="3"/>
      </w:numPr>
      <w:tabs>
        <w:tab w:val="clear" w:pos="1304"/>
        <w:tab w:val="left" w:pos="1701"/>
      </w:tabs>
      <w:ind w:left="1701" w:hanging="1701"/>
    </w:pPr>
    <w:rPr>
      <w:b/>
      <w:bCs/>
    </w:rPr>
  </w:style>
  <w:style w:type="character" w:customStyle="1" w:styleId="BodyTextChar">
    <w:name w:val="Body Text Char"/>
    <w:link w:val="BodyText"/>
    <w:rsid w:val="00F2107E"/>
    <w:rPr>
      <w:rFonts w:ascii="Arial" w:eastAsia="Times New Roman" w:hAnsi="Arial"/>
      <w:lang w:val="en-GB" w:eastAsia="zh-CN"/>
    </w:rPr>
  </w:style>
  <w:style w:type="paragraph" w:customStyle="1" w:styleId="B5">
    <w:name w:val="B5"/>
    <w:basedOn w:val="List5"/>
    <w:rsid w:val="00F2107E"/>
    <w:pPr>
      <w:spacing w:after="180"/>
    </w:pPr>
    <w:rPr>
      <w:lang w:eastAsia="en-US"/>
    </w:rPr>
  </w:style>
  <w:style w:type="paragraph" w:customStyle="1" w:styleId="EX">
    <w:name w:val="EX"/>
    <w:basedOn w:val="Normal"/>
    <w:rsid w:val="00F2107E"/>
    <w:pPr>
      <w:keepLines/>
      <w:spacing w:after="180"/>
      <w:ind w:left="1702" w:hanging="1418"/>
    </w:pPr>
    <w:rPr>
      <w:lang w:eastAsia="en-US"/>
    </w:rPr>
  </w:style>
  <w:style w:type="paragraph" w:customStyle="1" w:styleId="EW">
    <w:name w:val="EW"/>
    <w:basedOn w:val="EX"/>
    <w:rsid w:val="00F2107E"/>
    <w:pPr>
      <w:spacing w:after="0"/>
    </w:pPr>
  </w:style>
  <w:style w:type="paragraph" w:customStyle="1" w:styleId="TAL">
    <w:name w:val="TAL"/>
    <w:basedOn w:val="Normal"/>
    <w:link w:val="TALCar"/>
    <w:rsid w:val="00F2107E"/>
    <w:pPr>
      <w:keepNext/>
      <w:keepLines/>
      <w:spacing w:after="0"/>
    </w:pPr>
    <w:rPr>
      <w:sz w:val="18"/>
      <w:lang w:eastAsia="en-US"/>
    </w:rPr>
  </w:style>
  <w:style w:type="paragraph" w:customStyle="1" w:styleId="TAC">
    <w:name w:val="TAC"/>
    <w:basedOn w:val="TAL"/>
    <w:rsid w:val="00F2107E"/>
    <w:pPr>
      <w:jc w:val="center"/>
    </w:pPr>
  </w:style>
  <w:style w:type="paragraph" w:customStyle="1" w:styleId="TAH">
    <w:name w:val="TAH"/>
    <w:basedOn w:val="TAC"/>
    <w:rsid w:val="00F2107E"/>
    <w:rPr>
      <w:b/>
    </w:rPr>
  </w:style>
  <w:style w:type="paragraph" w:customStyle="1" w:styleId="TAN">
    <w:name w:val="TAN"/>
    <w:basedOn w:val="TAL"/>
    <w:rsid w:val="00F2107E"/>
    <w:pPr>
      <w:ind w:left="851" w:hanging="851"/>
    </w:pPr>
  </w:style>
  <w:style w:type="paragraph" w:customStyle="1" w:styleId="TAR">
    <w:name w:val="TAR"/>
    <w:basedOn w:val="TAL"/>
    <w:rsid w:val="00F2107E"/>
    <w:pPr>
      <w:jc w:val="right"/>
    </w:pPr>
  </w:style>
  <w:style w:type="paragraph" w:customStyle="1" w:styleId="TH">
    <w:name w:val="TH"/>
    <w:basedOn w:val="Normal"/>
    <w:rsid w:val="00F2107E"/>
    <w:pPr>
      <w:keepNext/>
      <w:keepLines/>
      <w:spacing w:before="60" w:after="180"/>
      <w:jc w:val="center"/>
    </w:pPr>
    <w:rPr>
      <w:b/>
      <w:lang w:eastAsia="en-US"/>
    </w:rPr>
  </w:style>
  <w:style w:type="paragraph" w:customStyle="1" w:styleId="TF">
    <w:name w:val="TF"/>
    <w:basedOn w:val="TH"/>
    <w:rsid w:val="00F2107E"/>
    <w:pPr>
      <w:keepNext w:val="0"/>
      <w:spacing w:before="0" w:after="240"/>
    </w:pPr>
  </w:style>
  <w:style w:type="paragraph" w:customStyle="1" w:styleId="TT">
    <w:name w:val="TT"/>
    <w:basedOn w:val="Heading1"/>
    <w:next w:val="Normal"/>
    <w:rsid w:val="00F2107E"/>
    <w:pPr>
      <w:numPr>
        <w:numId w:val="0"/>
      </w:numPr>
      <w:ind w:left="1134" w:hanging="1134"/>
      <w:outlineLvl w:val="9"/>
    </w:pPr>
    <w:rPr>
      <w:rFonts w:cs="Times New Roman"/>
      <w:szCs w:val="20"/>
      <w:lang w:eastAsia="en-US"/>
    </w:rPr>
  </w:style>
  <w:style w:type="paragraph" w:customStyle="1" w:styleId="ZA">
    <w:name w:val="ZA"/>
    <w:rsid w:val="00F21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21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21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21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2107E"/>
  </w:style>
  <w:style w:type="paragraph" w:customStyle="1" w:styleId="ZH">
    <w:name w:val="ZH"/>
    <w:rsid w:val="00F21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21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2107E"/>
    <w:pPr>
      <w:framePr w:hRule="auto" w:wrap="notBeside" w:y="852"/>
    </w:pPr>
    <w:rPr>
      <w:i w:val="0"/>
      <w:sz w:val="40"/>
    </w:rPr>
  </w:style>
  <w:style w:type="paragraph" w:customStyle="1" w:styleId="ZU">
    <w:name w:val="ZU"/>
    <w:rsid w:val="00F21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2107E"/>
    <w:pPr>
      <w:framePr w:wrap="notBeside" w:y="16161"/>
    </w:pPr>
  </w:style>
  <w:style w:type="paragraph" w:customStyle="1" w:styleId="FP">
    <w:name w:val="FP"/>
    <w:basedOn w:val="Normal"/>
    <w:rsid w:val="00F2107E"/>
    <w:pPr>
      <w:spacing w:after="0"/>
    </w:pPr>
    <w:rPr>
      <w:lang w:eastAsia="en-US"/>
    </w:rPr>
  </w:style>
  <w:style w:type="paragraph" w:customStyle="1" w:styleId="Observation">
    <w:name w:val="Observation"/>
    <w:basedOn w:val="Proposal"/>
    <w:qFormat/>
    <w:rsid w:val="00F2107E"/>
    <w:pPr>
      <w:numPr>
        <w:numId w:val="13"/>
      </w:numPr>
      <w:ind w:left="1701" w:hanging="1701"/>
    </w:pPr>
  </w:style>
  <w:style w:type="paragraph" w:styleId="TableofFigures">
    <w:name w:val="table of figures"/>
    <w:basedOn w:val="Normal"/>
    <w:next w:val="Normal"/>
    <w:uiPriority w:val="99"/>
    <w:rsid w:val="00F2107E"/>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9F0B2-732B-492E-B8E2-4BAF9D04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1505</Words>
  <Characters>7980</Characters>
  <Application>Microsoft Office Word</Application>
  <DocSecurity>0</DocSecurity>
  <Lines>66</Lines>
  <Paragraphs>18</Paragraphs>
  <ScaleCrop>false</ScaleCrop>
  <Company/>
  <LinksUpToDate>false</LinksUpToDate>
  <CharactersWithSpaces>9467</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2017-05-06T18:38:00Z</dcterms:created>
  <dcterms:modified xsi:type="dcterms:W3CDTF">2017-05-06T18:38:00Z</dcterms:modified>
</cp:coreProperties>
</file>